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3686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постановление Кабинета Министров Республики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.08.2018 № 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организаций </w:t>
      </w:r>
      <w:r>
        <w:rPr>
          <w:rFonts w:ascii="Times New Roman" w:hAnsi="Times New Roman"/>
          <w:sz w:val="28"/>
          <w:szCs w:val="28"/>
          <w:highlight w:val="none"/>
        </w:rPr>
        <w:t xml:space="preserve">физической культуры и спорта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43"/>
        <w:numPr>
          <w:ilvl w:val="0"/>
          <w:numId w:val="11"/>
        </w:numPr>
        <w:pBdr/>
        <w:tabs>
          <w:tab w:val="left" w:leader="none" w:pos="993"/>
        </w:tabs>
        <w:spacing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постановление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.08.2018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671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</w:t>
      </w:r>
      <w:r>
        <w:rPr>
          <w:rFonts w:ascii="Times New Roman" w:hAnsi="Times New Roman"/>
          <w:sz w:val="28"/>
          <w:szCs w:val="28"/>
          <w:highlight w:val="none"/>
        </w:rPr>
        <w:t xml:space="preserve">физической культуры и спорта</w:t>
      </w:r>
      <w:r>
        <w:rPr>
          <w:rFonts w:ascii="Times New Roman" w:hAnsi="Times New Roman"/>
          <w:sz w:val="28"/>
          <w:szCs w:val="28"/>
          <w:highlight w:val="none"/>
        </w:rPr>
        <w:t xml:space="preserve"> Республики Татарстан»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15.04.2019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290, от 26.07.2021 № 645, от 30.10.2021 № 1030, от 20.06.2022 № 587, от 14.09.2022 № 1002,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16.10.2023 № 1312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442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768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240)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3"/>
        <w:widowControl w:val="false"/>
        <w:pBdr/>
        <w:tabs>
          <w:tab w:val="left" w:leader="none" w:pos="993"/>
        </w:tabs>
        <w:spacing w:after="0" w:line="36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физической культуры и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33"/>
        <w:widowControl w:val="false"/>
        <w:pBdr/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284"/>
        </w:tabs>
        <w:spacing w:line="360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II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Определение базовых окладов работников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284"/>
        </w:tabs>
        <w:spacing w:line="360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государственных организаций физической культуры и спорта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43"/>
        <w:pBdr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 Базовые оклады работников физической культуры государственных организаций физической культуры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top w:w="28" w:type="dxa"/>
          <w:bottom w:w="28" w:type="dxa"/>
        </w:tblCellMar>
        <w:tblBorders/>
        <w:tblLayout w:type="fixed"/>
        <w:tblLook w:val="04A0" w:firstRow="1" w:lastRow="0" w:firstColumn="1" w:lastColumn="0" w:noHBand="0" w:noVBand="1"/>
        <w:tblStyle w:val="1034"/>
      </w:tblPr>
      <w:tblGrid>
        <w:gridCol w:w="2972"/>
        <w:gridCol w:w="4536"/>
        <w:gridCol w:w="2693"/>
      </w:tblGrid>
      <w:tr>
        <w:trPr>
          <w:trHeight w:val="20"/>
          <w:tblHeader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физической культуры и спорта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Дежурный по спортивному залу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физической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культуры и спорта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Инструктор по адаптивной физической культуре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26 600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Инструктор по спорту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Спортсмен-инструктор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Техник по эксплуатации и ремонту спортивной техники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Инструктор-методист по адаптивной физической культуре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26 610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Инструктор-методист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физкультурно-спортивных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Тренер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Третий квалификационный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Старший инструктор-методист физкультурно-спортивных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26 620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43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Базовые оклады работников образования государственных организаций физической культуры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top w:w="28" w:type="dxa"/>
          <w:bottom w:w="28" w:type="dxa"/>
        </w:tblCellMar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1034"/>
      </w:tblPr>
      <w:tblGrid>
        <w:gridCol w:w="2972"/>
        <w:gridCol w:w="4536"/>
        <w:gridCol w:w="2693"/>
      </w:tblGrid>
      <w:tr>
        <w:trPr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10201" w:type="dxa"/>
        <w:tblCellMar>
          <w:top w:w="28" w:type="dxa"/>
          <w:bottom w:w="28" w:type="dxa"/>
        </w:tblCellMar>
        <w:tblBorders/>
        <w:tblLayout w:type="fixed"/>
        <w:tblLook w:val="04A0" w:firstRow="1" w:lastRow="0" w:firstColumn="1" w:lastColumn="0" w:noHBand="0" w:noVBand="1"/>
        <w:tblStyle w:val="1034"/>
      </w:tblPr>
      <w:tblGrid>
        <w:gridCol w:w="2972"/>
        <w:gridCol w:w="4535"/>
        <w:gridCol w:w="2693"/>
        <w:gridCol w:w="1"/>
      </w:tblGrid>
      <w:tr>
        <w:trPr>
          <w:gridAfter w:val="1"/>
          <w:trHeight w:val="20"/>
          <w:tblHeader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55"/>
        </w:trPr>
        <w:tc>
          <w:tcPr>
            <w:gridSpan w:val="4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Инструктор по физической культуре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27 390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791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0"/>
        </w:trPr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Методист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Старший инструктор-методист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4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(начальник) структурным подразделением: кабинетом,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лабораторией, отделом, отделением, сектором, учебно-консультационным пунктом, учебной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27 830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5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27 890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43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 Базовые оклады медицинских работников государственных организаций физической культуры и спорта устанавливаются в следующих размерах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top w:w="28" w:type="dxa"/>
          <w:bottom w:w="28" w:type="dxa"/>
        </w:tblCellMar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1034"/>
      </w:tblPr>
      <w:tblGrid>
        <w:gridCol w:w="2972"/>
        <w:gridCol w:w="4612"/>
        <w:gridCol w:w="2617"/>
      </w:tblGrid>
      <w:tr>
        <w:trPr>
          <w:trHeight w:val="20"/>
          <w:tblHeader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tbl>
      <w:tblPr>
        <w:tblW w:w="10201" w:type="dxa"/>
        <w:tblCellMar>
          <w:top w:w="28" w:type="dxa"/>
          <w:bottom w:w="28" w:type="dxa"/>
        </w:tblCellMar>
        <w:tblBorders/>
        <w:tblLayout w:type="fixed"/>
        <w:tblLook w:val="04A0" w:firstRow="1" w:lastRow="0" w:firstColumn="1" w:lastColumn="0" w:noHBand="0" w:noVBand="1"/>
        <w:tblStyle w:val="1034"/>
      </w:tblPr>
      <w:tblGrid>
        <w:gridCol w:w="2972"/>
        <w:gridCol w:w="4612"/>
        <w:gridCol w:w="2617"/>
      </w:tblGrid>
      <w:tr>
        <w:trPr>
          <w:trHeight w:val="20"/>
          <w:tblHeader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«Средний медицинский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27 760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vMerge w:val="continue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Старшая медицинская сестра (старший медицинский брат)*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29 630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«Врачи и провизоры»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Врачи-специалисты (кроме врачей-специалистов, отнесенных к треть-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br/>
              <w:t xml:space="preserve">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«Руководители структурных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подразделений учреждений с высшим медицинским и фармацевтическим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образованием (врач-специалист, провизор)»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35 370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*Должность устанавливается в организации при наличии в подчинении трех и более медицинских сестер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(медицинских братьев)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43"/>
        <w:pBdr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 Базовые оклады работников культуры государственных организаций физической культуры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/>
        <w:tblLook w:val="04A0" w:firstRow="1" w:lastRow="0" w:firstColumn="1" w:lastColumn="0" w:noHBand="0" w:noVBand="1"/>
        <w:tblStyle w:val="1034"/>
      </w:tblPr>
      <w:tblGrid>
        <w:gridCol w:w="7372"/>
        <w:gridCol w:w="2829"/>
      </w:tblGrid>
      <w:tr>
        <w:trPr>
          <w:trHeight w:val="940"/>
          <w:tblHeader/>
        </w:trPr>
        <w:tc>
          <w:tcPr>
            <w:tcBorders/>
            <w:tcW w:w="73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«Должности технических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исполнителей и артистов вспомогательного состава»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20"/>
        </w:trPr>
        <w:tc>
          <w:tcPr>
            <w:tcBorders/>
            <w:tcW w:w="73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Контролер билетов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26 900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695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21"/>
        </w:trPr>
        <w:tc>
          <w:tcPr>
            <w:tcBorders/>
            <w:tcW w:w="7372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билетными кассами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27 450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43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 Базовые оклады работников сельского хозяйства государственных организаций физической культуры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7" w:type="dxa"/>
        <w:tblCellMar>
          <w:top w:w="28" w:type="dxa"/>
          <w:bottom w:w="28" w:type="dxa"/>
        </w:tblCellMar>
        <w:tblBorders>
          <w:bottom w:val="none" w:color="auto" w:sz="0" w:space="0"/>
        </w:tblBorders>
        <w:tblLook w:val="04A0" w:firstRow="1" w:lastRow="0" w:firstColumn="1" w:lastColumn="0" w:noHBand="0" w:noVBand="1"/>
        <w:tblStyle w:val="1034"/>
      </w:tblPr>
      <w:tblGrid>
        <w:gridCol w:w="3544"/>
        <w:gridCol w:w="3964"/>
        <w:gridCol w:w="2699"/>
      </w:tblGrid>
      <w:tr>
        <w:trPr/>
        <w:tc>
          <w:tcPr>
            <w:tcBorders/>
            <w:tcW w:w="3544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tbl>
      <w:tblPr>
        <w:tblW w:w="0" w:type="auto"/>
        <w:tblCellMar>
          <w:top w:w="28" w:type="dxa"/>
          <w:bottom w:w="28" w:type="dxa"/>
        </w:tblCellMar>
        <w:tblBorders/>
        <w:tblLayout w:type="fixed"/>
        <w:tblLook w:val="04A0" w:firstRow="1" w:lastRow="0" w:firstColumn="1" w:lastColumn="0" w:noHBand="0" w:noVBand="1"/>
        <w:tblStyle w:val="1034"/>
      </w:tblPr>
      <w:tblGrid>
        <w:gridCol w:w="3544"/>
        <w:gridCol w:w="3964"/>
        <w:gridCol w:w="2699"/>
      </w:tblGrid>
      <w:tr>
        <w:trPr>
          <w:trHeight w:val="20"/>
          <w:tblHeader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7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«Должности работников сельского хозяйства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 II категории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 I категории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Ведущий 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27 670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7" w:type="dxa"/>
            <w:textDirection w:val="lrTb"/>
            <w:noWrap w:val="false"/>
          </w:tcPr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«Должности работников сельского хозяйства четвертого уровня»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Главный агроном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29 040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43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3"/>
        <w:widowControl w:val="false"/>
        <w:pBdr/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2" w:name="_Hlk172190647"/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таблицу 16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bookmarkEnd w:id="2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Таблица 16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4"/>
        <w:pBdr/>
        <w:spacing w:line="360" w:lineRule="auto"/>
        <w:ind/>
        <w:jc w:val="center"/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  <w:lang w:eastAsia="en-US"/>
        </w:rPr>
        <w:t xml:space="preserve">Размеры базо</w:t>
      </w:r>
      <w:bookmarkStart w:id="3" w:name="_GoBack"/>
      <w:r>
        <w:rPr>
          <w:highlight w:val="none"/>
        </w:rPr>
      </w:r>
      <w:bookmarkEnd w:id="3"/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  <w:lang w:eastAsia="en-US"/>
        </w:rPr>
        <w:t xml:space="preserve">вых окладов руководителей государственных организаций </w:t>
      </w: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</w:p>
    <w:p>
      <w:pPr>
        <w:pStyle w:val="1044"/>
        <w:pBdr/>
        <w:spacing w:line="360" w:lineRule="auto"/>
        <w:ind/>
        <w:jc w:val="center"/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  <w:lang w:eastAsia="en-US"/>
        </w:rPr>
        <w:t xml:space="preserve">физической культуры и спорта</w:t>
      </w: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</w:p>
    <w:p>
      <w:pPr>
        <w:pStyle w:val="1044"/>
        <w:pBdr/>
        <w:spacing w:line="312" w:lineRule="auto"/>
        <w:ind/>
        <w:jc w:val="center"/>
        <w:rPr>
          <w:rFonts w:ascii="Times New Roman" w:hAnsi="Times New Roman" w:cs="Times New Roman" w:eastAsiaTheme="minorHAnsi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highlight w:val="none"/>
        </w:rPr>
      </w:r>
    </w:p>
    <w:p>
      <w:pPr>
        <w:pStyle w:val="1044"/>
        <w:pBdr/>
        <w:spacing w:line="312" w:lineRule="auto"/>
        <w:ind/>
        <w:jc w:val="center"/>
        <w:rPr>
          <w:rFonts w:ascii="Times New Roman" w:hAnsi="Times New Roman" w:cs="Times New Roman" w:eastAsiaTheme="minorHAnsi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top w:w="45" w:type="dxa"/>
          <w:right w:w="62" w:type="dxa"/>
          <w:bottom w:w="45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894"/>
        <w:gridCol w:w="2693"/>
      </w:tblGrid>
      <w:tr>
        <w:trPr>
          <w:trHeight w:val="20"/>
        </w:trPr>
        <w:tc>
          <w:tcPr>
            <w:tcBorders/>
            <w:tcW w:w="261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9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Значение объемного показателя (штатная численность работников), человек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Базовый оклад,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рублей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9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до 20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en-US"/>
              </w:rPr>
              <w:t xml:space="preserve">34 490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9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21 – 40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en-US"/>
              </w:rPr>
              <w:t xml:space="preserve">35 700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3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9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41 – 60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en-US"/>
              </w:rPr>
              <w:t xml:space="preserve">36 910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4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94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 w:right="0" w:firstLine="0" w:left="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  <w:t xml:space="preserve">61 и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более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1043"/>
              <w:pBdr/>
              <w:spacing w:line="233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en-US"/>
              </w:rPr>
              <w:t xml:space="preserve">37 510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»;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</w:tbl>
    <w:p>
      <w:pPr>
        <w:pStyle w:val="1033"/>
        <w:widowControl w:val="false"/>
        <w:pBdr/>
        <w:tabs>
          <w:tab w:val="left" w:leader="none" w:pos="993"/>
        </w:tabs>
        <w:spacing w:after="0" w:line="360" w:lineRule="auto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3"/>
        <w:widowControl w:val="false"/>
        <w:pBdr/>
        <w:tabs>
          <w:tab w:val="left" w:leader="none" w:pos="993"/>
        </w:tabs>
        <w:spacing w:after="0" w:line="36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 условиях оплаты труда работников професс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физической культуры и спорта Республики Татарстан,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/>
          <w:sz w:val="28"/>
          <w:szCs w:val="28"/>
          <w:highlight w:val="none"/>
        </w:rPr>
        <w:t xml:space="preserve"> указанным постановлением</w:t>
      </w:r>
      <w:bookmarkStart w:id="4" w:name="_Hlk172538856"/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bookmarkEnd w:id="4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33"/>
        <w:widowControl w:val="false"/>
        <w:pBdr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базовых окладов работников профессиональных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3"/>
        <w:widowControl w:val="false"/>
        <w:pBdr/>
        <w:tabs>
          <w:tab w:val="left" w:leader="none" w:pos="284"/>
        </w:tabs>
        <w:spacing w:after="0" w:line="360" w:lineRule="auto"/>
        <w:ind w:left="0"/>
        <w:contextualSpacing w:val="fals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квалификационных групп общеотраслевых профессий рабочих, рабочих культуры, искусства и кинематографии, общеотраслевых должностей руководителей,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33"/>
        <w:widowControl w:val="false"/>
        <w:pBdr/>
        <w:tabs>
          <w:tab w:val="left" w:leader="none" w:pos="284"/>
        </w:tabs>
        <w:spacing w:after="0" w:line="360" w:lineRule="auto"/>
        <w:ind w:left="0"/>
        <w:contextualSpacing w:val="fals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специалистов и служащих государственных организаций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33"/>
        <w:widowControl w:val="false"/>
        <w:pBdr/>
        <w:tabs>
          <w:tab w:val="left" w:leader="none" w:pos="284"/>
        </w:tabs>
        <w:spacing w:after="0" w:line="360" w:lineRule="auto"/>
        <w:ind w:left="0"/>
        <w:contextualSpacing w:val="fals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спорта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33"/>
        <w:widowControl w:val="false"/>
        <w:pBdr/>
        <w:tabs>
          <w:tab w:val="left" w:leader="none" w:pos="993"/>
        </w:tabs>
        <w:spacing w:after="0" w:line="36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33"/>
        <w:widowControl w:val="false"/>
        <w:pBdr/>
        <w:spacing w:after="0" w:line="360" w:lineRule="auto"/>
        <w:ind w:firstLine="708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.1. Базовые оклады работников профессиональных квалификационных групп общеотраслевых профессий рабочих, рабочих культуры, искусства и кинематографии государственных организаций физической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культуры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top w:w="57" w:type="dxa"/>
          <w:right w:w="62" w:type="dxa"/>
          <w:bottom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232"/>
        <w:gridCol w:w="3969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10201" w:type="dxa"/>
        <w:tblCellMar>
          <w:left w:w="62" w:type="dxa"/>
          <w:top w:w="57" w:type="dxa"/>
          <w:right w:w="62" w:type="dxa"/>
          <w:bottom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232"/>
        <w:gridCol w:w="3969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профессии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33"/>
              <w:pBdr/>
              <w:spacing w:after="0" w:afterAutospacing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 Базовые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оклады работников профессиональных квалификационных групп общеотраслевых должностей руководителей, специалистов и служащих государственных организаций физической культуры и спорта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3"/>
        <w:pBdr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top w:w="57" w:type="dxa"/>
          <w:right w:w="62" w:type="dxa"/>
          <w:bottom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094"/>
        <w:gridCol w:w="4107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10201" w:type="dxa"/>
        <w:tblCellMar>
          <w:left w:w="62" w:type="dxa"/>
          <w:top w:w="45" w:type="dxa"/>
          <w:right w:w="62" w:type="dxa"/>
          <w:bottom w:w="4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094"/>
        <w:gridCol w:w="4107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33"/>
        <w:pBdr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и профессии работника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квалификационным уровням профессиональных квалификационных групп общеотрасл</w:t>
      </w:r>
      <w:r>
        <w:rPr>
          <w:rFonts w:ascii="Times New Roman" w:hAnsi="Times New Roman" w:cs="Times New Roman"/>
          <w:sz w:val="28"/>
          <w:szCs w:val="28"/>
        </w:rPr>
        <w:t xml:space="preserve">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 xml:space="preserve">устанавлив</w:t>
      </w:r>
      <w:r>
        <w:rPr>
          <w:rFonts w:ascii="Times New Roman" w:hAnsi="Times New Roman" w:cs="Times New Roman"/>
          <w:sz w:val="28"/>
          <w:szCs w:val="28"/>
        </w:rPr>
        <w:t xml:space="preserve">ается согласно нормативным правовым актам Министерства здравоохранения и социального развития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 Оплата труда работников государственных организаций физической культуры и спорта,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sz w:val="28"/>
          <w:szCs w:val="28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3"/>
        <w:numPr>
          <w:ilvl w:val="0"/>
          <w:numId w:val="11"/>
        </w:numPr>
        <w:pBdr/>
        <w:tabs>
          <w:tab w:val="left" w:leader="none" w:pos="993"/>
        </w:tabs>
        <w:spacing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</w:t>
      </w:r>
      <w:r>
        <w:rPr>
          <w:rFonts w:ascii="Times New Roman" w:hAnsi="Times New Roman"/>
          <w:sz w:val="28"/>
          <w:szCs w:val="28"/>
          <w:highlight w:val="none"/>
        </w:rPr>
        <w:t xml:space="preserve"> настоящее постановление вступает в силу с 1 </w:t>
      </w:r>
      <w:r>
        <w:rPr>
          <w:rFonts w:ascii="Times New Roman" w:hAnsi="Times New Roman"/>
          <w:sz w:val="28"/>
          <w:szCs w:val="28"/>
          <w:highlight w:val="none"/>
        </w:rPr>
        <w:t xml:space="preserve">января </w:t>
      </w:r>
      <w:r>
        <w:rPr>
          <w:rFonts w:ascii="Times New Roman" w:hAnsi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/>
          <w:sz w:val="28"/>
          <w:szCs w:val="28"/>
          <w:highlight w:val="none"/>
        </w:rPr>
        <w:t xml:space="preserve">6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4"/>
        <w:pBdr/>
        <w:spacing/>
        <w:ind w:right="-1"/>
        <w:outlineLvl w:val="0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44"/>
        <w:pBdr/>
        <w:spacing/>
        <w:ind w:right="-1"/>
        <w:outlineLvl w:val="0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567" w:bottom="1134" w:left="1134" w:header="567" w:footer="0" w:gutter="0"/>
          <w:cols w:num="1" w:sep="0" w:space="708" w:equalWidth="1"/>
          <w:titlePg/>
        </w:sect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Республики Татарстан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43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15.08.2018 № 671 «Об условиях оплаты труда работников государственных организаций физической культуры и спорта Республики Татарстан»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43"/>
        <w:pBdr/>
        <w:spacing w:line="276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15.08.2018 № 671 «Об условиях оплаты труда работников госуда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рственных организаций физической культуры и спорта Республики Татарстан»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разработан во исполнение поручения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Раиса Республики Татарстан Минниханова Р.Н.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21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35612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повышени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 в Положение об условиях оплаты труда работников государственных организаций физической культуры и спорта Республики Татарстан;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Положение об условиях оплаты труда работников профес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сиональных квалификационных групп общеотраслевых професси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физической культуры и спорта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величения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базовых окладов работников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организаций физической культуры и спорта, подведомственных Мини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стерству спорта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rFonts w:ascii="Times New Roman" w:hAnsi="Times New Roman" w:cs="Times New Roman"/>
          <w:sz w:val="28"/>
          <w:szCs w:val="28"/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43"/>
        <w:pBdr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3"/>
        <w:pBdr/>
        <w:spacing w:line="245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67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33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33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33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33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0135096"/>
      <w:docPartObj>
        <w:docPartGallery w:val="Page Numbers (Top of Page)"/>
        <w:docPartUnique w:val="true"/>
      </w:docPartObj>
      <w:rPr/>
    </w:sdtPr>
    <w:sdtContent>
      <w:p>
        <w:pPr>
          <w:pStyle w:val="1035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1035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35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6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30"/>
      </w:pPr>
      <w:rPr>
        <w:rFonts w:hint="default" w:eastAsiaTheme="minorEastAsia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 w:eastAsiaTheme="minorEastAsia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160"/>
      </w:pPr>
      <w:rPr>
        <w:rFonts w:hint="default" w:eastAsiaTheme="minorEastAsia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60"/>
      </w:pPr>
      <w:rPr>
        <w:rFonts w:hint="default" w:eastAsiaTheme="minorEastAsia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520"/>
      </w:pPr>
      <w:rPr>
        <w:rFonts w:hint="default" w:eastAsiaTheme="minorEastAsia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880"/>
      </w:pPr>
      <w:rPr>
        <w:rFonts w:hint="default" w:eastAsiaTheme="minorEastAsia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880"/>
      </w:pPr>
      <w:rPr>
        <w:rFonts w:hint="default" w:eastAsiaTheme="minorEastAsia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240"/>
      </w:pPr>
      <w:rPr>
        <w:rFonts w:hint="default" w:eastAsiaTheme="minorEastAsia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3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7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48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54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25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0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312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6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upperRoman"/>
      <w:pPr>
        <w:pBdr/>
        <w:spacing/>
        <w:ind w:hanging="720" w:left="144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30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6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2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80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396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6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upperRoman"/>
      <w:pPr>
        <w:pBdr/>
        <w:spacing/>
        <w:ind w:hanging="720" w:left="144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8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"/>
      <w:numFmt w:val="decimal"/>
      <w:pPr>
        <w:pBdr/>
        <w:spacing/>
        <w:ind w:hanging="360" w:left="396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6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18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40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4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32"/>
  </w:num>
  <w:num w:numId="5">
    <w:abstractNumId w:val="43"/>
  </w:num>
  <w:num w:numId="6">
    <w:abstractNumId w:val="40"/>
  </w:num>
  <w:num w:numId="7">
    <w:abstractNumId w:val="4"/>
  </w:num>
  <w:num w:numId="8">
    <w:abstractNumId w:val="7"/>
  </w:num>
  <w:num w:numId="9">
    <w:abstractNumId w:val="3"/>
  </w:num>
  <w:num w:numId="10">
    <w:abstractNumId w:val="30"/>
  </w:num>
  <w:num w:numId="11">
    <w:abstractNumId w:val="38"/>
  </w:num>
  <w:num w:numId="12">
    <w:abstractNumId w:val="12"/>
  </w:num>
  <w:num w:numId="13">
    <w:abstractNumId w:val="14"/>
  </w:num>
  <w:num w:numId="14">
    <w:abstractNumId w:val="24"/>
  </w:num>
  <w:num w:numId="15">
    <w:abstractNumId w:val="10"/>
  </w:num>
  <w:num w:numId="16">
    <w:abstractNumId w:val="18"/>
  </w:num>
  <w:num w:numId="17">
    <w:abstractNumId w:val="21"/>
  </w:num>
  <w:num w:numId="18">
    <w:abstractNumId w:val="45"/>
  </w:num>
  <w:num w:numId="19">
    <w:abstractNumId w:val="5"/>
  </w:num>
  <w:num w:numId="20">
    <w:abstractNumId w:val="27"/>
  </w:num>
  <w:num w:numId="21">
    <w:abstractNumId w:val="34"/>
  </w:num>
  <w:num w:numId="22">
    <w:abstractNumId w:val="13"/>
  </w:num>
  <w:num w:numId="23">
    <w:abstractNumId w:val="9"/>
  </w:num>
  <w:num w:numId="24">
    <w:abstractNumId w:val="6"/>
  </w:num>
  <w:num w:numId="25">
    <w:abstractNumId w:val="23"/>
  </w:num>
  <w:num w:numId="26">
    <w:abstractNumId w:val="16"/>
  </w:num>
  <w:num w:numId="27">
    <w:abstractNumId w:val="15"/>
  </w:num>
  <w:num w:numId="28">
    <w:abstractNumId w:val="2"/>
  </w:num>
  <w:num w:numId="29">
    <w:abstractNumId w:val="37"/>
  </w:num>
  <w:num w:numId="30">
    <w:abstractNumId w:val="31"/>
  </w:num>
  <w:num w:numId="31">
    <w:abstractNumId w:val="39"/>
  </w:num>
  <w:num w:numId="32">
    <w:abstractNumId w:val="1"/>
  </w:num>
  <w:num w:numId="33">
    <w:abstractNumId w:val="19"/>
  </w:num>
  <w:num w:numId="34">
    <w:abstractNumId w:val="33"/>
  </w:num>
  <w:num w:numId="35">
    <w:abstractNumId w:val="46"/>
  </w:num>
  <w:num w:numId="36">
    <w:abstractNumId w:val="25"/>
  </w:num>
  <w:num w:numId="37">
    <w:abstractNumId w:val="11"/>
  </w:num>
  <w:num w:numId="38">
    <w:abstractNumId w:val="44"/>
  </w:num>
  <w:num w:numId="39">
    <w:abstractNumId w:val="22"/>
  </w:num>
  <w:num w:numId="40">
    <w:abstractNumId w:val="28"/>
  </w:num>
  <w:num w:numId="41">
    <w:abstractNumId w:val="36"/>
  </w:num>
  <w:num w:numId="42">
    <w:abstractNumId w:val="20"/>
  </w:num>
  <w:num w:numId="43">
    <w:abstractNumId w:val="41"/>
  </w:num>
  <w:num w:numId="44">
    <w:abstractNumId w:val="35"/>
  </w:num>
  <w:num w:numId="45">
    <w:abstractNumId w:val="29"/>
  </w:num>
  <w:num w:numId="46">
    <w:abstractNumId w:val="17"/>
  </w:num>
  <w:num w:numId="47">
    <w:abstractNumId w:val="42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9">
    <w:name w:val="Table Grid Light"/>
    <w:basedOn w:val="10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1"/>
    <w:basedOn w:val="10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2"/>
    <w:basedOn w:val="10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1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2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3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4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5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6"/>
    <w:basedOn w:val="10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1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2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3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4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5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6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1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2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3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4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5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6"/>
    <w:basedOn w:val="10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1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2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3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4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5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6"/>
    <w:basedOn w:val="10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Heading 1"/>
    <w:basedOn w:val="1029"/>
    <w:next w:val="1029"/>
    <w:link w:val="9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5">
    <w:name w:val="Heading 2"/>
    <w:basedOn w:val="1029"/>
    <w:next w:val="1029"/>
    <w:link w:val="9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6">
    <w:name w:val="Heading 3"/>
    <w:basedOn w:val="1029"/>
    <w:next w:val="1029"/>
    <w:link w:val="9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7">
    <w:name w:val="Heading 4"/>
    <w:basedOn w:val="1029"/>
    <w:next w:val="1029"/>
    <w:link w:val="9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8">
    <w:name w:val="Heading 5"/>
    <w:basedOn w:val="1029"/>
    <w:next w:val="1029"/>
    <w:link w:val="9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9">
    <w:name w:val="Heading 6"/>
    <w:basedOn w:val="1029"/>
    <w:next w:val="1029"/>
    <w:link w:val="98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0">
    <w:name w:val="Heading 7"/>
    <w:basedOn w:val="1029"/>
    <w:next w:val="1029"/>
    <w:link w:val="9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1">
    <w:name w:val="Heading 8"/>
    <w:basedOn w:val="1029"/>
    <w:next w:val="1029"/>
    <w:link w:val="9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2">
    <w:name w:val="Heading 9"/>
    <w:basedOn w:val="1029"/>
    <w:next w:val="1029"/>
    <w:link w:val="9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3">
    <w:name w:val="Heading 1 Char"/>
    <w:basedOn w:val="1030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4">
    <w:name w:val="Heading 2 Char"/>
    <w:basedOn w:val="1030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5">
    <w:name w:val="Heading 3 Char"/>
    <w:basedOn w:val="1030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6">
    <w:name w:val="Heading 4 Char"/>
    <w:basedOn w:val="1030"/>
    <w:link w:val="9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7">
    <w:name w:val="Heading 5 Char"/>
    <w:basedOn w:val="1030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8">
    <w:name w:val="Heading 6 Char"/>
    <w:basedOn w:val="1030"/>
    <w:link w:val="9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9">
    <w:name w:val="Heading 7 Char"/>
    <w:basedOn w:val="1030"/>
    <w:link w:val="9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0">
    <w:name w:val="Heading 8 Char"/>
    <w:basedOn w:val="1030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1">
    <w:name w:val="Heading 9 Char"/>
    <w:basedOn w:val="1030"/>
    <w:link w:val="9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2">
    <w:name w:val="Title"/>
    <w:basedOn w:val="1029"/>
    <w:next w:val="1029"/>
    <w:link w:val="99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Title Char"/>
    <w:basedOn w:val="1030"/>
    <w:link w:val="9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4">
    <w:name w:val="Subtitle"/>
    <w:basedOn w:val="1029"/>
    <w:next w:val="1029"/>
    <w:link w:val="9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95">
    <w:name w:val="Subtitle Char"/>
    <w:basedOn w:val="1030"/>
    <w:link w:val="9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6">
    <w:name w:val="Quote"/>
    <w:basedOn w:val="1029"/>
    <w:next w:val="1029"/>
    <w:link w:val="9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7">
    <w:name w:val="Quote Char"/>
    <w:basedOn w:val="1030"/>
    <w:link w:val="9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8">
    <w:name w:val="Intense Emphasis"/>
    <w:basedOn w:val="10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9">
    <w:name w:val="Intense Quote"/>
    <w:basedOn w:val="1029"/>
    <w:next w:val="1029"/>
    <w:link w:val="100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0">
    <w:name w:val="Intense Quote Char"/>
    <w:basedOn w:val="1030"/>
    <w:link w:val="99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1">
    <w:name w:val="Intense Reference"/>
    <w:basedOn w:val="10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2">
    <w:name w:val="No Spacing"/>
    <w:basedOn w:val="1029"/>
    <w:uiPriority w:val="1"/>
    <w:qFormat/>
    <w:pPr>
      <w:pBdr/>
      <w:spacing w:after="0" w:line="240" w:lineRule="auto"/>
      <w:ind/>
    </w:pPr>
  </w:style>
  <w:style w:type="character" w:styleId="1003">
    <w:name w:val="Subtle Emphasis"/>
    <w:basedOn w:val="10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4">
    <w:name w:val="Emphasis"/>
    <w:basedOn w:val="1030"/>
    <w:uiPriority w:val="20"/>
    <w:qFormat/>
    <w:pPr>
      <w:pBdr/>
      <w:spacing/>
      <w:ind/>
    </w:pPr>
    <w:rPr>
      <w:i/>
      <w:iCs/>
    </w:rPr>
  </w:style>
  <w:style w:type="character" w:styleId="1005">
    <w:name w:val="Strong"/>
    <w:basedOn w:val="1030"/>
    <w:uiPriority w:val="22"/>
    <w:qFormat/>
    <w:pPr>
      <w:pBdr/>
      <w:spacing/>
      <w:ind/>
    </w:pPr>
    <w:rPr>
      <w:b/>
      <w:bCs/>
    </w:rPr>
  </w:style>
  <w:style w:type="character" w:styleId="1006">
    <w:name w:val="Subtle Reference"/>
    <w:basedOn w:val="10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7">
    <w:name w:val="Book Title"/>
    <w:basedOn w:val="10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8">
    <w:name w:val="Header Char"/>
    <w:basedOn w:val="1030"/>
    <w:link w:val="1035"/>
    <w:uiPriority w:val="99"/>
    <w:pPr>
      <w:pBdr/>
      <w:spacing/>
      <w:ind/>
    </w:pPr>
  </w:style>
  <w:style w:type="character" w:styleId="1009">
    <w:name w:val="Footer Char"/>
    <w:basedOn w:val="1030"/>
    <w:link w:val="1037"/>
    <w:uiPriority w:val="99"/>
    <w:pPr>
      <w:pBdr/>
      <w:spacing/>
      <w:ind/>
    </w:pPr>
  </w:style>
  <w:style w:type="paragraph" w:styleId="1010">
    <w:name w:val="Caption"/>
    <w:basedOn w:val="1029"/>
    <w:next w:val="10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1">
    <w:name w:val="footnote text"/>
    <w:basedOn w:val="1029"/>
    <w:link w:val="10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2">
    <w:name w:val="Footnote Text Char"/>
    <w:basedOn w:val="1030"/>
    <w:link w:val="1011"/>
    <w:uiPriority w:val="99"/>
    <w:semiHidden/>
    <w:pPr>
      <w:pBdr/>
      <w:spacing/>
      <w:ind/>
    </w:pPr>
    <w:rPr>
      <w:sz w:val="20"/>
      <w:szCs w:val="20"/>
    </w:rPr>
  </w:style>
  <w:style w:type="character" w:styleId="1013">
    <w:name w:val="footnote reference"/>
    <w:basedOn w:val="1030"/>
    <w:uiPriority w:val="99"/>
    <w:semiHidden/>
    <w:unhideWhenUsed/>
    <w:pPr>
      <w:pBdr/>
      <w:spacing/>
      <w:ind/>
    </w:pPr>
    <w:rPr>
      <w:vertAlign w:val="superscript"/>
    </w:rPr>
  </w:style>
  <w:style w:type="paragraph" w:styleId="1014">
    <w:name w:val="endnote text"/>
    <w:basedOn w:val="1029"/>
    <w:link w:val="10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5">
    <w:name w:val="Endnote Text Char"/>
    <w:basedOn w:val="1030"/>
    <w:link w:val="1014"/>
    <w:uiPriority w:val="99"/>
    <w:semiHidden/>
    <w:pPr>
      <w:pBdr/>
      <w:spacing/>
      <w:ind/>
    </w:pPr>
    <w:rPr>
      <w:sz w:val="20"/>
      <w:szCs w:val="20"/>
    </w:rPr>
  </w:style>
  <w:style w:type="character" w:styleId="1016">
    <w:name w:val="endnote reference"/>
    <w:basedOn w:val="1030"/>
    <w:uiPriority w:val="99"/>
    <w:semiHidden/>
    <w:unhideWhenUsed/>
    <w:pPr>
      <w:pBdr/>
      <w:spacing/>
      <w:ind/>
    </w:pPr>
    <w:rPr>
      <w:vertAlign w:val="superscript"/>
    </w:rPr>
  </w:style>
  <w:style w:type="character" w:styleId="1017">
    <w:name w:val="FollowedHyperlink"/>
    <w:basedOn w:val="10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8">
    <w:name w:val="toc 1"/>
    <w:basedOn w:val="1029"/>
    <w:next w:val="1029"/>
    <w:uiPriority w:val="39"/>
    <w:unhideWhenUsed/>
    <w:pPr>
      <w:pBdr/>
      <w:spacing w:after="100"/>
      <w:ind/>
    </w:pPr>
  </w:style>
  <w:style w:type="paragraph" w:styleId="1019">
    <w:name w:val="toc 2"/>
    <w:basedOn w:val="1029"/>
    <w:next w:val="1029"/>
    <w:uiPriority w:val="39"/>
    <w:unhideWhenUsed/>
    <w:pPr>
      <w:pBdr/>
      <w:spacing w:after="100"/>
      <w:ind w:left="220"/>
    </w:pPr>
  </w:style>
  <w:style w:type="paragraph" w:styleId="1020">
    <w:name w:val="toc 3"/>
    <w:basedOn w:val="1029"/>
    <w:next w:val="1029"/>
    <w:uiPriority w:val="39"/>
    <w:unhideWhenUsed/>
    <w:pPr>
      <w:pBdr/>
      <w:spacing w:after="100"/>
      <w:ind w:left="440"/>
    </w:pPr>
  </w:style>
  <w:style w:type="paragraph" w:styleId="1021">
    <w:name w:val="toc 4"/>
    <w:basedOn w:val="1029"/>
    <w:next w:val="1029"/>
    <w:uiPriority w:val="39"/>
    <w:unhideWhenUsed/>
    <w:pPr>
      <w:pBdr/>
      <w:spacing w:after="100"/>
      <w:ind w:left="660"/>
    </w:pPr>
  </w:style>
  <w:style w:type="paragraph" w:styleId="1022">
    <w:name w:val="toc 5"/>
    <w:basedOn w:val="1029"/>
    <w:next w:val="1029"/>
    <w:uiPriority w:val="39"/>
    <w:unhideWhenUsed/>
    <w:pPr>
      <w:pBdr/>
      <w:spacing w:after="100"/>
      <w:ind w:left="880"/>
    </w:pPr>
  </w:style>
  <w:style w:type="paragraph" w:styleId="1023">
    <w:name w:val="toc 6"/>
    <w:basedOn w:val="1029"/>
    <w:next w:val="1029"/>
    <w:uiPriority w:val="39"/>
    <w:unhideWhenUsed/>
    <w:pPr>
      <w:pBdr/>
      <w:spacing w:after="100"/>
      <w:ind w:left="1100"/>
    </w:pPr>
  </w:style>
  <w:style w:type="paragraph" w:styleId="1024">
    <w:name w:val="toc 7"/>
    <w:basedOn w:val="1029"/>
    <w:next w:val="1029"/>
    <w:uiPriority w:val="39"/>
    <w:unhideWhenUsed/>
    <w:pPr>
      <w:pBdr/>
      <w:spacing w:after="100"/>
      <w:ind w:left="1320"/>
    </w:pPr>
  </w:style>
  <w:style w:type="paragraph" w:styleId="1025">
    <w:name w:val="toc 8"/>
    <w:basedOn w:val="1029"/>
    <w:next w:val="1029"/>
    <w:uiPriority w:val="39"/>
    <w:unhideWhenUsed/>
    <w:pPr>
      <w:pBdr/>
      <w:spacing w:after="100"/>
      <w:ind w:left="1540"/>
    </w:pPr>
  </w:style>
  <w:style w:type="paragraph" w:styleId="1026">
    <w:name w:val="toc 9"/>
    <w:basedOn w:val="1029"/>
    <w:next w:val="1029"/>
    <w:uiPriority w:val="39"/>
    <w:unhideWhenUsed/>
    <w:pPr>
      <w:pBdr/>
      <w:spacing w:after="100"/>
      <w:ind w:left="1760"/>
    </w:pPr>
  </w:style>
  <w:style w:type="paragraph" w:styleId="1027">
    <w:name w:val="TOC Heading"/>
    <w:uiPriority w:val="39"/>
    <w:unhideWhenUsed/>
    <w:pPr>
      <w:pBdr/>
      <w:spacing/>
      <w:ind/>
    </w:pPr>
  </w:style>
  <w:style w:type="paragraph" w:styleId="1028">
    <w:name w:val="table of figures"/>
    <w:basedOn w:val="1029"/>
    <w:next w:val="1029"/>
    <w:uiPriority w:val="99"/>
    <w:unhideWhenUsed/>
    <w:pPr>
      <w:pBdr/>
      <w:spacing w:after="0" w:afterAutospacing="0"/>
      <w:ind/>
    </w:pPr>
  </w:style>
  <w:style w:type="paragraph" w:styleId="1029" w:default="1">
    <w:name w:val="Normal"/>
    <w:qFormat/>
    <w:pPr>
      <w:pBdr/>
      <w:spacing/>
      <w:ind/>
    </w:pPr>
  </w:style>
  <w:style w:type="character" w:styleId="1030" w:default="1">
    <w:name w:val="Default Paragraph Font"/>
    <w:uiPriority w:val="1"/>
    <w:semiHidden/>
    <w:unhideWhenUsed/>
    <w:pPr>
      <w:pBdr/>
      <w:spacing/>
      <w:ind/>
    </w:pPr>
  </w:style>
  <w:style w:type="table" w:styleId="10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2" w:default="1">
    <w:name w:val="No List"/>
    <w:uiPriority w:val="99"/>
    <w:semiHidden/>
    <w:unhideWhenUsed/>
    <w:pPr>
      <w:pBdr/>
      <w:spacing/>
      <w:ind/>
    </w:pPr>
  </w:style>
  <w:style w:type="paragraph" w:styleId="1033">
    <w:name w:val="List Paragraph"/>
    <w:basedOn w:val="1029"/>
    <w:uiPriority w:val="34"/>
    <w:qFormat/>
    <w:pPr>
      <w:pBdr/>
      <w:spacing/>
      <w:ind w:left="720"/>
      <w:contextualSpacing w:val="true"/>
    </w:pPr>
  </w:style>
  <w:style w:type="table" w:styleId="1034">
    <w:name w:val="Table Grid"/>
    <w:basedOn w:val="10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5">
    <w:name w:val="Header"/>
    <w:basedOn w:val="1029"/>
    <w:link w:val="103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6" w:customStyle="1">
    <w:name w:val="Верхний колонтитул Знак"/>
    <w:basedOn w:val="1030"/>
    <w:link w:val="1035"/>
    <w:uiPriority w:val="99"/>
    <w:pPr>
      <w:pBdr/>
      <w:spacing/>
      <w:ind/>
    </w:pPr>
  </w:style>
  <w:style w:type="paragraph" w:styleId="1037">
    <w:name w:val="Footer"/>
    <w:basedOn w:val="1029"/>
    <w:link w:val="10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8" w:customStyle="1">
    <w:name w:val="Нижний колонтитул Знак"/>
    <w:basedOn w:val="1030"/>
    <w:link w:val="1037"/>
    <w:uiPriority w:val="99"/>
    <w:pPr>
      <w:pBdr/>
      <w:spacing/>
      <w:ind/>
    </w:pPr>
  </w:style>
  <w:style w:type="paragraph" w:styleId="1039">
    <w:name w:val="Document Map"/>
    <w:basedOn w:val="1029"/>
    <w:link w:val="104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40" w:customStyle="1">
    <w:name w:val="Схема документа Знак"/>
    <w:basedOn w:val="1030"/>
    <w:link w:val="103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41">
    <w:name w:val="Balloon Text"/>
    <w:basedOn w:val="1029"/>
    <w:link w:val="104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42" w:customStyle="1">
    <w:name w:val="Текст выноски Знак"/>
    <w:basedOn w:val="1030"/>
    <w:link w:val="104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43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44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45">
    <w:name w:val="Hyperlink"/>
    <w:basedOn w:val="103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6">
    <w:name w:val="Placeholder Text"/>
    <w:basedOn w:val="1030"/>
    <w:uiPriority w:val="99"/>
    <w:semiHidden/>
    <w:pPr>
      <w:pBdr/>
      <w:spacing/>
      <w:ind/>
    </w:pPr>
    <w:rPr>
      <w:color w:val="666666"/>
    </w:rPr>
  </w:style>
  <w:style w:type="character" w:styleId="1047" w:customStyle="1">
    <w:name w:val="Неразрешенное упоминание1"/>
    <w:basedOn w:val="103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48" w:customStyle="1">
    <w:name w:val="Grid Table Light"/>
    <w:basedOn w:val="1007"/>
    <w:uiPriority w:val="4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423F-860D-404E-9C92-80887B28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17</cp:revision>
  <dcterms:created xsi:type="dcterms:W3CDTF">2024-08-12T14:11:00Z</dcterms:created>
  <dcterms:modified xsi:type="dcterms:W3CDTF">2025-08-11T07:30:03Z</dcterms:modified>
</cp:coreProperties>
</file>