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5102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</w:t>
      </w:r>
      <w:r>
        <w:rPr>
          <w:rFonts w:ascii="Times New Roman" w:hAnsi="Times New Roman" w:cs="Times New Roman"/>
          <w:sz w:val="28"/>
          <w:szCs w:val="28"/>
        </w:rPr>
        <w:t xml:space="preserve">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widowControl w:val="false"/>
        <w:numPr>
          <w:ilvl w:val="0"/>
          <w:numId w:val="11"/>
        </w:numPr>
        <w:pBdr/>
        <w:tabs>
          <w:tab w:val="left" w:leader="none" w:pos="993"/>
        </w:tabs>
        <w:spacing w:after="0" w:line="360" w:lineRule="auto"/>
        <w:ind w:firstLine="72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25.09.2018 № 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 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 06.05.2019 № 38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0, от 16.04.2020 № 294, от 01.09.2020 № 768, от 03.11.2020 № 989, от 21.07.2021 № 633, от 26.07.2021 № 645, от 30.10.2021 № 1030, от 26.05.2022 № 489, от 20.06.2022 № 587, от 14.09.2022 № 1002, от 30.11.2022 № 1268, от 17.07.2023 № 846, от 03.04.2024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215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 26.04.2024 № 283</w:t>
      </w:r>
      <w: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21.06.2024 № 447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766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4.2025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245,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6.2025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478)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государственных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реализующих дополнительные образовательные программы спортивной подготовки, </w:t>
      </w:r>
      <w:r>
        <w:rPr>
          <w:rFonts w:ascii="Times New Roman" w:hAnsi="Times New Roman"/>
          <w:sz w:val="28"/>
          <w:szCs w:val="28"/>
        </w:rPr>
        <w:t xml:space="preserve">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7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«II.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Определение базовых окладов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работников организаций, осуществляющих спортивную подготовку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87"/>
        <w:pBdr/>
        <w:spacing w:line="360" w:lineRule="auto"/>
        <w:ind w:left="720"/>
        <w:jc w:val="center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</w:r>
      <w:r>
        <w:rPr>
          <w:rFonts w:ascii="Times New Roman" w:hAnsi="Times New Roman" w:cs="Times New Roman"/>
          <w:bCs/>
          <w:sz w:val="20"/>
          <w:szCs w:val="28"/>
        </w:rPr>
      </w:r>
      <w:r>
        <w:rPr>
          <w:rFonts w:ascii="Times New Roman" w:hAnsi="Times New Roman" w:cs="Times New Roman"/>
          <w:bCs/>
          <w:sz w:val="20"/>
          <w:szCs w:val="28"/>
        </w:rPr>
      </w:r>
    </w:p>
    <w:p>
      <w:pPr>
        <w:pStyle w:val="987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 w:firstLine="72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Базовые оклады работников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организаций, осуществляющих спортивную подготовку,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228" w:lineRule="auto"/>
        <w:ind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  <w:tblStyle w:val="978"/>
      </w:tblPr>
      <w:tblGrid>
        <w:gridCol w:w="2689"/>
        <w:gridCol w:w="5528"/>
        <w:gridCol w:w="1989"/>
      </w:tblGrid>
      <w:tr>
        <w:trPr>
          <w:trHeight w:val="23"/>
        </w:trPr>
        <w:tc>
          <w:tcPr>
            <w:tcBorders>
              <w:bottom w:val="none" w:color="000000" w:sz="4" w:space="0"/>
            </w:tcBorders>
            <w:tcW w:w="26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9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64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12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2689"/>
        <w:gridCol w:w="5528"/>
        <w:gridCol w:w="1989"/>
        <w:gridCol w:w="6"/>
      </w:tblGrid>
      <w:tr>
        <w:trPr>
          <w:gridAfter w:val="1"/>
          <w:trHeight w:val="23"/>
          <w:tblHeader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4"/>
            <w:tcBorders/>
            <w:tcW w:w="1021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27 390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4"/>
            <w:tcBorders/>
            <w:tcW w:w="1021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27 830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9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27 890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7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культуры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организаций, осуществляющих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5807"/>
        <w:gridCol w:w="4399"/>
      </w:tblGrid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Художник-оформитель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Базовые оклады медицинских работников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организаций, осуществляющих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78"/>
      </w:tblPr>
      <w:tblGrid>
        <w:gridCol w:w="3688"/>
        <w:gridCol w:w="3962"/>
        <w:gridCol w:w="2551"/>
      </w:tblGrid>
      <w:tr>
        <w:trPr>
          <w:trHeight w:val="13"/>
        </w:trPr>
        <w:tc>
          <w:tcPr>
            <w:tcBorders/>
            <w:tcW w:w="368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64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3688"/>
        <w:gridCol w:w="3962"/>
        <w:gridCol w:w="2551"/>
      </w:tblGrid>
      <w:tr>
        <w:trPr>
          <w:trHeight w:val="13"/>
          <w:tblHeader/>
        </w:trPr>
        <w:tc>
          <w:tcPr>
            <w:tcBorders/>
            <w:tcW w:w="368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«Средний медицинский 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"/>
        </w:trPr>
        <w:tc>
          <w:tcPr>
            <w:tcBorders/>
            <w:tcW w:w="3688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2" w:type="dxa"/>
            <w:textDirection w:val="lrTb"/>
            <w:noWrap w:val="false"/>
          </w:tcPr>
          <w:p>
            <w:pPr>
              <w:widowControl w:val="false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27 760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"/>
        </w:trPr>
        <w:tc>
          <w:tcPr>
            <w:tcBorders/>
            <w:tcW w:w="3688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"/>
        </w:trPr>
        <w:tc>
          <w:tcPr>
            <w:tcBorders/>
            <w:tcW w:w="368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2" w:type="dxa"/>
            <w:textDirection w:val="lrTb"/>
            <w:noWrap w:val="false"/>
          </w:tcPr>
          <w:p>
            <w:pPr>
              <w:widowControl w:val="false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(старший 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29 630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"/>
        </w:trPr>
        <w:tc>
          <w:tcPr>
            <w:tcBorders/>
            <w:tcW w:w="3688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32 090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8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987"/>
              <w:pBdr/>
              <w:spacing/>
              <w:ind w:firstLine="2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*Должность устанавливается в организации при наличии в подчинении трех и более медицинских сестер</w:t>
            </w:r>
            <w:r>
              <w:rPr>
                <w:rFonts w:ascii="Times New Roman" w:hAnsi="Times New Roman" w:cs="Times New Roman"/>
                <w:sz w:val="28"/>
              </w:rPr>
              <w:t xml:space="preserve"> (медицинских братьев)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Базовые оклады работников физической культуры и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организаций, осуществляющих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78"/>
      </w:tblPr>
      <w:tblGrid>
        <w:gridCol w:w="3681"/>
        <w:gridCol w:w="3969"/>
        <w:gridCol w:w="2551"/>
      </w:tblGrid>
      <w:tr>
        <w:trPr>
          <w:trHeight w:val="2"/>
        </w:trPr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64" w:lineRule="auto"/>
        <w:ind/>
        <w:contextualSpacing w:val="true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3681"/>
        <w:gridCol w:w="3969"/>
        <w:gridCol w:w="2551"/>
      </w:tblGrid>
      <w:tr>
        <w:trPr>
          <w:tblHeader/>
        </w:trPr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физической культуры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"/>
        </w:trPr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Дежурный по спортивному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лу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Сопровождающий спортсмена-инвалида I группы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Спортсмен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Спортсмен-ведущий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физической культуры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"/>
        </w:trPr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26 600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Спортсмен-инструктор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Тренер-наездник лошадей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 по эксплуатации и ремонту спортивной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"/>
        </w:trPr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тренировочного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26 610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7"/>
        </w:trPr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26 620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7"/>
        </w:trPr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тренер-преподаватель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"/>
        </w:trPr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Аналитик (по виду или группе видов спорта)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26 690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977"/>
        <w:widowControl w:val="false"/>
        <w:pBdr/>
        <w:spacing w:after="0" w:line="245" w:lineRule="auto"/>
        <w:ind w:left="85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987"/>
        <w:pBdr/>
        <w:spacing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Базовые оклады работников сельского хозяйства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организаций, осуществляющих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245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78"/>
      </w:tblPr>
      <w:tblGrid>
        <w:gridCol w:w="3681"/>
        <w:gridCol w:w="3969"/>
        <w:gridCol w:w="2551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64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3681"/>
        <w:gridCol w:w="3969"/>
        <w:gridCol w:w="2551"/>
      </w:tblGrid>
      <w:tr>
        <w:trPr>
          <w:tblHeader/>
        </w:trPr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сельского хозяйства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27 390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по защите растений (средней квалификации)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сельского хозяйства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27 670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зоотехник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сельского хозяйства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7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_Hlk172190647"/>
      <w:r>
        <w:rPr>
          <w:rFonts w:ascii="Times New Roman" w:hAnsi="Times New Roman" w:cs="Times New Roman"/>
          <w:sz w:val="28"/>
          <w:szCs w:val="28"/>
        </w:rPr>
        <w:t xml:space="preserve">таблицу 28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Размеры базовых окладов и выплат стимулирующего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характера за качество выполняемых работ руководителей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организаций, осуществляющих спортивную подготовку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1696"/>
        <w:gridCol w:w="3742"/>
        <w:gridCol w:w="2037"/>
        <w:gridCol w:w="2585"/>
      </w:tblGrid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 по состоянию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текущего года в соответствии с государственным заданием), человек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выполняемых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36 300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4 840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 –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38 720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6 050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401 – 700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43 560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6 050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701 – 1 200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44 770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7 260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1 201 – 1 800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48 400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8 470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74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1 801 и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50 820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8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9 680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10060" w:type="dxa"/>
            <w:textDirection w:val="lrTb"/>
            <w:noWrap w:val="false"/>
          </w:tcPr>
          <w:p>
            <w:pPr>
              <w:pStyle w:val="987"/>
              <w:pBdr/>
              <w:spacing w:line="245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45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учащихся организации, осуществляющей спортивную подготовку (спортивно-адаптивная школа), учитывается с коэффициентом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7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II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</w:t>
      </w:r>
      <w:r>
        <w:rPr>
          <w:rFonts w:ascii="Times New Roman" w:hAnsi="Times New Roman" w:cs="Times New Roman"/>
          <w:sz w:val="28"/>
          <w:szCs w:val="28"/>
        </w:rPr>
        <w:t xml:space="preserve">еотраслевых должностей руководителей, специалистов и служащих государственных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реализующих дополнительные образовательные программы спортивной подготовки, и государственных центров спортивной подготовки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 профессиональных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квалификационных групп общеотраслевых профессий рабочих,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рабочих культуры, искусства и кинематографии, общеотраслевых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должностей руководителей, специалистов и служащих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организаций, реализующих дополнительные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образовательные программы спортивной подготовки Республики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Татарстан, и государственных центров спортивной подготовки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7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7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outlineLvl w:val="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</w:t>
      </w:r>
      <w:r>
        <w:rPr>
          <w:rFonts w:ascii="Times New Roman" w:hAnsi="Times New Roman" w:cs="Times New Roman"/>
          <w:sz w:val="28"/>
          <w:szCs w:val="28"/>
        </w:rPr>
        <w:t xml:space="preserve">усства и кинематографии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5524"/>
        <w:gridCol w:w="4536"/>
      </w:tblGrid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профессии 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профессии 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77"/>
              <w:pBdr/>
              <w:spacing w:after="0" w:afterAutospacing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и служащих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5665"/>
        <w:gridCol w:w="4394"/>
        <w:gridCol w:w="7"/>
      </w:tblGrid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6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  <w:trHeight w:val="256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Borders/>
            <w:tcW w:w="566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Соответствие должности и профессии работника квалификационным уровням профессиональных кв</w:t>
      </w:r>
      <w:r>
        <w:rPr>
          <w:rFonts w:ascii="Times New Roman" w:hAnsi="Times New Roman" w:cs="Times New Roman"/>
          <w:sz w:val="28"/>
          <w:szCs w:val="28"/>
        </w:rPr>
        <w:t xml:space="preserve">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 xml:space="preserve">устанавлив</w:t>
      </w:r>
      <w:r>
        <w:rPr>
          <w:rFonts w:ascii="Times New Roman" w:hAnsi="Times New Roman" w:cs="Times New Roman"/>
          <w:sz w:val="28"/>
          <w:szCs w:val="28"/>
        </w:rPr>
        <w:t xml:space="preserve">ается согласно нормативным правовым актам федерального органа исполнительной власти.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sz w:val="28"/>
          <w:szCs w:val="28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hyperlink r:id="rId12" w:tooltip="https://login.consultant.ru/link/?req=doc&amp;base=RLAW363&amp;n=182638&amp;dst=1193" w:history="1">
        <w:r>
          <w:rPr>
            <w:rFonts w:ascii="Times New Roman" w:hAnsi="Times New Roman" w:cs="Times New Roman"/>
            <w:sz w:val="28"/>
            <w:szCs w:val="28"/>
          </w:rPr>
          <w:t xml:space="preserve">в П</w:t>
        </w:r>
        <w:r>
          <w:rPr>
            <w:rFonts w:ascii="Times New Roman" w:hAnsi="Times New Roman" w:cs="Times New Roman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государственных центров спортивной подготовки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работников центров спортивной подготовки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должностей медицинских работников (далее – медицинских работников) центров спортивной подготовки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228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  <w:tblStyle w:val="978"/>
      </w:tblPr>
      <w:tblGrid>
        <w:gridCol w:w="2405"/>
        <w:gridCol w:w="5387"/>
        <w:gridCol w:w="2212"/>
      </w:tblGrid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64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04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2405"/>
        <w:gridCol w:w="5387"/>
        <w:gridCol w:w="2212"/>
      </w:tblGrid>
      <w:tr>
        <w:trPr>
          <w:tblHeader/>
        </w:trPr>
        <w:tc>
          <w:tcPr>
            <w:tcBorders/>
            <w:tcW w:w="240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0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«Средний медицинский 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статистик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26 660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2405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widowControl w:val="false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27 760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2405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28 530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3"/>
            <w:tcBorders/>
            <w:tcW w:w="1000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32 090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3"/>
            <w:tcBorders/>
            <w:tcW w:w="1000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структурного подразделения (отдела, отделения, лаборатории, кабинета, отряда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12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35 370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должностей работников физической культуры и спорта (далее – работников физической культуры и спорта) центров спортивной подготовки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7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78"/>
      </w:tblPr>
      <w:tblGrid>
        <w:gridCol w:w="3397"/>
        <w:gridCol w:w="3544"/>
        <w:gridCol w:w="3119"/>
      </w:tblGrid>
      <w:tr>
        <w:trPr>
          <w:trHeight w:val="89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64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0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3397"/>
        <w:gridCol w:w="3544"/>
        <w:gridCol w:w="3119"/>
      </w:tblGrid>
      <w:tr>
        <w:trPr>
          <w:trHeight w:val="87"/>
          <w:tblHeader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7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14"/>
        </w:trPr>
        <w:tc>
          <w:tcPr>
            <w:tcBorders/>
            <w:tcW w:w="3397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Спортсмен-инструктор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26 610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тренировочного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tcBorders/>
            <w:tcW w:w="3397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26 620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0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61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Аналитик (по виду или группе видов спорта)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26 690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61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физической культуры и спорта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2"/>
        </w:trPr>
        <w:tc>
          <w:tcPr>
            <w:tcBorders/>
            <w:tcW w:w="3397" w:type="dxa"/>
            <w:vMerge w:val="restart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тренер спортивной сборной команды (по виду спорта)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 32 560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0"/>
        </w:trPr>
        <w:tc>
          <w:tcPr>
            <w:tcBorders/>
            <w:tcW w:w="3397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87"/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(по виду или группе видов спорта)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9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Размеры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базовых окладов и выплат стимулирующего характера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за качество выполняемых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8"/>
        <w:pBdr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бот руководителей центров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спортивной подготовки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7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2014"/>
        <w:gridCol w:w="3666"/>
        <w:gridCol w:w="1553"/>
        <w:gridCol w:w="2968"/>
      </w:tblGrid>
      <w:tr>
        <w:trPr>
          <w:trHeight w:val="1985"/>
        </w:trPr>
        <w:tc>
          <w:tcPr>
            <w:tcBorders/>
            <w:tcW w:w="2014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66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работников по состоянию на 1 января текущего года в соответствии с государственным заданием), ставок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68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1"/>
        </w:trPr>
        <w:tc>
          <w:tcPr>
            <w:tcBorders/>
            <w:tcW w:w="2014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66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53 240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</w:p>
        </w:tc>
        <w:tc>
          <w:tcPr>
            <w:tcBorders/>
            <w:tcW w:w="2968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</w:p>
        </w:tc>
      </w:tr>
      <w:tr>
        <w:trPr>
          <w:trHeight w:val="352"/>
        </w:trPr>
        <w:tc>
          <w:tcPr>
            <w:tcBorders/>
            <w:tcW w:w="2014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66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 и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59 290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68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9 680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7"/>
        <w:widowControl w:val="false"/>
        <w:pBdr/>
        <w:tabs>
          <w:tab w:val="left" w:leader="none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widowControl w:val="false"/>
        <w:numPr>
          <w:ilvl w:val="0"/>
          <w:numId w:val="1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Кабинета Министров Республики Татарс</w:t>
      </w:r>
      <w:r>
        <w:rPr>
          <w:rFonts w:ascii="Times New Roman" w:hAnsi="Times New Roman"/>
          <w:b/>
          <w:bCs/>
          <w:sz w:val="28"/>
          <w:szCs w:val="28"/>
        </w:rPr>
        <w:t xml:space="preserve">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7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</w:t>
      </w:r>
      <w:r>
        <w:rPr>
          <w:rFonts w:ascii="Times New Roman" w:hAnsi="Times New Roman"/>
          <w:sz w:val="28"/>
          <w:szCs w:val="28"/>
          <w:highlight w:val="white"/>
        </w:rPr>
        <w:t xml:space="preserve">в Республики Татарс</w:t>
      </w:r>
      <w:r>
        <w:rPr>
          <w:rFonts w:ascii="Times New Roman" w:hAnsi="Times New Roman"/>
          <w:sz w:val="28"/>
          <w:szCs w:val="28"/>
          <w:highlight w:val="white"/>
        </w:rPr>
        <w:t xml:space="preserve">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Раиса Республики Татарстан Минниханова Р.Н.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35612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повышени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7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 в Положение об ус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Положение об условиях оплаты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организаций, реализующих 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образовательные программы спортивной подготовки Республики Татарстан, и государственных центров спортивной подготовки Республики Татарстан, Положение об условиях оплаты труда работников государственных центров спортивной подготовки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</w:t>
      </w:r>
      <w:r>
        <w:rPr>
          <w:rFonts w:ascii="Times New Roman" w:hAnsi="Times New Roman" w:cs="Times New Roman"/>
          <w:sz w:val="28"/>
          <w:szCs w:val="28"/>
        </w:rPr>
        <w:t xml:space="preserve">величения</w:t>
      </w:r>
      <w:r>
        <w:rPr>
          <w:rFonts w:ascii="Times New Roman" w:hAnsi="Times New Roman" w:cs="Times New Roman"/>
          <w:sz w:val="28"/>
          <w:szCs w:val="28"/>
        </w:rPr>
        <w:t xml:space="preserve"> базовых окладов работников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организаций, реализующих дополнительные образовательные программы спортивной подготовки Республики Татарстан, и 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сударственных центров спортивной подготовки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а также окладов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выплат стимулирующего характера за качество выполн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яемых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87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Выделение </w:t>
      </w:r>
      <w:bookmarkStart w:id="4" w:name="_Hlk172193018"/>
      <w:r>
        <w:rPr>
          <w:rFonts w:ascii="Times New Roman" w:hAnsi="Times New Roman" w:cs="Times New Roman"/>
          <w:sz w:val="28"/>
          <w:szCs w:val="28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</w:rPr>
      </w:r>
      <w:bookmarkEnd w:id="5"/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87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5"/>
      <w:pgMar w:top="851" w:right="850" w:bottom="1134" w:left="1276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77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977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77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977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30789416"/>
      <w:docPartObj>
        <w:docPartGallery w:val="Page Numbers (Top of Page)"/>
        <w:docPartUnique w:val="true"/>
      </w:docPartObj>
      <w:rPr/>
    </w:sdtPr>
    <w:sdtContent>
      <w:p>
        <w:pPr>
          <w:pStyle w:val="979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97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3"/>
  </w:num>
  <w:num w:numId="8">
    <w:abstractNumId w:val="4"/>
  </w:num>
  <w:num w:numId="9">
    <w:abstractNumId w:val="2"/>
  </w:num>
  <w:num w:numId="10">
    <w:abstractNumId w:val="15"/>
  </w:num>
  <w:num w:numId="11">
    <w:abstractNumId w:val="17"/>
  </w:num>
  <w:num w:numId="12">
    <w:abstractNumId w:val="8"/>
  </w:num>
  <w:num w:numId="13">
    <w:abstractNumId w:val="9"/>
  </w:num>
  <w:num w:numId="14">
    <w:abstractNumId w:val="12"/>
  </w:num>
  <w:num w:numId="15">
    <w:abstractNumId w:val="6"/>
  </w:num>
  <w:num w:numId="16">
    <w:abstractNumId w:val="0"/>
  </w:num>
  <w:num w:numId="17">
    <w:abstractNumId w:val="11"/>
  </w:num>
  <w:num w:numId="18">
    <w:abstractNumId w:val="13"/>
  </w:num>
  <w:num w:numId="19">
    <w:abstractNumId w:val="7"/>
  </w:num>
  <w:num w:numId="20">
    <w:abstractNumId w:val="10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3">
    <w:name w:val="Table Grid Light"/>
    <w:basedOn w:val="9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9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9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1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2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3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4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5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6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1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2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3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4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5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6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1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2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3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4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5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6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Heading 1"/>
    <w:basedOn w:val="973"/>
    <w:next w:val="973"/>
    <w:link w:val="9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9">
    <w:name w:val="Heading 2"/>
    <w:basedOn w:val="973"/>
    <w:next w:val="973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0">
    <w:name w:val="Heading 3"/>
    <w:basedOn w:val="973"/>
    <w:next w:val="973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1">
    <w:name w:val="Heading 4"/>
    <w:basedOn w:val="973"/>
    <w:next w:val="973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5"/>
    <w:basedOn w:val="973"/>
    <w:next w:val="973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3">
    <w:name w:val="Heading 6"/>
    <w:basedOn w:val="973"/>
    <w:next w:val="973"/>
    <w:link w:val="9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4">
    <w:name w:val="Heading 7"/>
    <w:basedOn w:val="973"/>
    <w:next w:val="973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5">
    <w:name w:val="Heading 8"/>
    <w:basedOn w:val="973"/>
    <w:next w:val="973"/>
    <w:link w:val="9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Heading 9"/>
    <w:basedOn w:val="973"/>
    <w:next w:val="973"/>
    <w:link w:val="9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7">
    <w:name w:val="Heading 1 Char"/>
    <w:basedOn w:val="974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8">
    <w:name w:val="Heading 2 Char"/>
    <w:basedOn w:val="974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9">
    <w:name w:val="Heading 3 Char"/>
    <w:basedOn w:val="974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4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4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4"/>
    <w:link w:val="9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7 Char"/>
    <w:basedOn w:val="974"/>
    <w:link w:val="9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>
    <w:name w:val="Heading 8 Char"/>
    <w:basedOn w:val="974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>
    <w:name w:val="Heading 9 Char"/>
    <w:basedOn w:val="974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973"/>
    <w:next w:val="973"/>
    <w:link w:val="9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7">
    <w:name w:val="Title Char"/>
    <w:basedOn w:val="974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973"/>
    <w:next w:val="973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>
    <w:name w:val="Subtitle Char"/>
    <w:basedOn w:val="974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973"/>
    <w:next w:val="973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>
    <w:name w:val="Quote Char"/>
    <w:basedOn w:val="974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9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3">
    <w:name w:val="Intense Quote"/>
    <w:basedOn w:val="973"/>
    <w:next w:val="973"/>
    <w:link w:val="94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4">
    <w:name w:val="Intense Quote Char"/>
    <w:basedOn w:val="974"/>
    <w:link w:val="9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5">
    <w:name w:val="Intense Reference"/>
    <w:basedOn w:val="9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6">
    <w:name w:val="No Spacing"/>
    <w:basedOn w:val="973"/>
    <w:uiPriority w:val="1"/>
    <w:qFormat/>
    <w:pPr>
      <w:pBdr/>
      <w:spacing w:after="0" w:line="240" w:lineRule="auto"/>
      <w:ind/>
    </w:pPr>
  </w:style>
  <w:style w:type="character" w:styleId="947">
    <w:name w:val="Subtle Emphasis"/>
    <w:basedOn w:val="9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974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974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9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9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2">
    <w:name w:val="Header Char"/>
    <w:basedOn w:val="974"/>
    <w:link w:val="979"/>
    <w:uiPriority w:val="99"/>
    <w:pPr>
      <w:pBdr/>
      <w:spacing/>
      <w:ind/>
    </w:pPr>
  </w:style>
  <w:style w:type="character" w:styleId="953">
    <w:name w:val="Footer Char"/>
    <w:basedOn w:val="974"/>
    <w:link w:val="981"/>
    <w:uiPriority w:val="99"/>
    <w:pPr>
      <w:pBdr/>
      <w:spacing/>
      <w:ind/>
    </w:pPr>
  </w:style>
  <w:style w:type="paragraph" w:styleId="954">
    <w:name w:val="Caption"/>
    <w:basedOn w:val="973"/>
    <w:next w:val="9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5">
    <w:name w:val="footnote text"/>
    <w:basedOn w:val="973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>
    <w:name w:val="Footnote Text Char"/>
    <w:basedOn w:val="974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basedOn w:val="974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973"/>
    <w:link w:val="9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9">
    <w:name w:val="Endnote Text Char"/>
    <w:basedOn w:val="974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basedOn w:val="974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FollowedHyperlink"/>
    <w:basedOn w:val="9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2">
    <w:name w:val="toc 1"/>
    <w:basedOn w:val="973"/>
    <w:next w:val="973"/>
    <w:uiPriority w:val="39"/>
    <w:unhideWhenUsed/>
    <w:pPr>
      <w:pBdr/>
      <w:spacing w:after="100"/>
      <w:ind/>
    </w:pPr>
  </w:style>
  <w:style w:type="paragraph" w:styleId="963">
    <w:name w:val="toc 2"/>
    <w:basedOn w:val="973"/>
    <w:next w:val="973"/>
    <w:uiPriority w:val="39"/>
    <w:unhideWhenUsed/>
    <w:pPr>
      <w:pBdr/>
      <w:spacing w:after="100"/>
      <w:ind w:left="220"/>
    </w:pPr>
  </w:style>
  <w:style w:type="paragraph" w:styleId="964">
    <w:name w:val="toc 3"/>
    <w:basedOn w:val="973"/>
    <w:next w:val="973"/>
    <w:uiPriority w:val="39"/>
    <w:unhideWhenUsed/>
    <w:pPr>
      <w:pBdr/>
      <w:spacing w:after="100"/>
      <w:ind w:left="440"/>
    </w:pPr>
  </w:style>
  <w:style w:type="paragraph" w:styleId="965">
    <w:name w:val="toc 4"/>
    <w:basedOn w:val="973"/>
    <w:next w:val="973"/>
    <w:uiPriority w:val="39"/>
    <w:unhideWhenUsed/>
    <w:pPr>
      <w:pBdr/>
      <w:spacing w:after="100"/>
      <w:ind w:left="660"/>
    </w:pPr>
  </w:style>
  <w:style w:type="paragraph" w:styleId="966">
    <w:name w:val="toc 5"/>
    <w:basedOn w:val="973"/>
    <w:next w:val="973"/>
    <w:uiPriority w:val="39"/>
    <w:unhideWhenUsed/>
    <w:pPr>
      <w:pBdr/>
      <w:spacing w:after="100"/>
      <w:ind w:left="880"/>
    </w:pPr>
  </w:style>
  <w:style w:type="paragraph" w:styleId="967">
    <w:name w:val="toc 6"/>
    <w:basedOn w:val="973"/>
    <w:next w:val="973"/>
    <w:uiPriority w:val="39"/>
    <w:unhideWhenUsed/>
    <w:pPr>
      <w:pBdr/>
      <w:spacing w:after="100"/>
      <w:ind w:left="1100"/>
    </w:pPr>
  </w:style>
  <w:style w:type="paragraph" w:styleId="968">
    <w:name w:val="toc 7"/>
    <w:basedOn w:val="973"/>
    <w:next w:val="973"/>
    <w:uiPriority w:val="39"/>
    <w:unhideWhenUsed/>
    <w:pPr>
      <w:pBdr/>
      <w:spacing w:after="100"/>
      <w:ind w:left="1320"/>
    </w:pPr>
  </w:style>
  <w:style w:type="paragraph" w:styleId="969">
    <w:name w:val="toc 8"/>
    <w:basedOn w:val="973"/>
    <w:next w:val="973"/>
    <w:uiPriority w:val="39"/>
    <w:unhideWhenUsed/>
    <w:pPr>
      <w:pBdr/>
      <w:spacing w:after="100"/>
      <w:ind w:left="1540"/>
    </w:pPr>
  </w:style>
  <w:style w:type="paragraph" w:styleId="970">
    <w:name w:val="toc 9"/>
    <w:basedOn w:val="973"/>
    <w:next w:val="973"/>
    <w:uiPriority w:val="39"/>
    <w:unhideWhenUsed/>
    <w:pPr>
      <w:pBdr/>
      <w:spacing w:after="100"/>
      <w:ind w:left="1760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qFormat/>
    <w:pPr>
      <w:pBdr/>
      <w:spacing/>
      <w:ind/>
    </w:pPr>
  </w:style>
  <w:style w:type="character" w:styleId="974" w:default="1">
    <w:name w:val="Default Paragraph Font"/>
    <w:uiPriority w:val="1"/>
    <w:semiHidden/>
    <w:unhideWhenUsed/>
    <w:pPr>
      <w:pBdr/>
      <w:spacing/>
      <w:ind/>
    </w:pPr>
  </w:style>
  <w:style w:type="table" w:styleId="9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6" w:default="1">
    <w:name w:val="No List"/>
    <w:uiPriority w:val="99"/>
    <w:semiHidden/>
    <w:unhideWhenUsed/>
    <w:pPr>
      <w:pBdr/>
      <w:spacing/>
      <w:ind/>
    </w:pPr>
  </w:style>
  <w:style w:type="paragraph" w:styleId="977">
    <w:name w:val="List Paragraph"/>
    <w:basedOn w:val="973"/>
    <w:uiPriority w:val="34"/>
    <w:qFormat/>
    <w:pPr>
      <w:pBdr/>
      <w:spacing/>
      <w:ind w:left="720"/>
      <w:contextualSpacing w:val="true"/>
    </w:pPr>
  </w:style>
  <w:style w:type="table" w:styleId="978">
    <w:name w:val="Table Grid"/>
    <w:basedOn w:val="97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73"/>
    <w:link w:val="9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0" w:customStyle="1">
    <w:name w:val="Верхний колонтитул Знак"/>
    <w:basedOn w:val="974"/>
    <w:link w:val="979"/>
    <w:uiPriority w:val="99"/>
    <w:pPr>
      <w:pBdr/>
      <w:spacing/>
      <w:ind/>
    </w:pPr>
  </w:style>
  <w:style w:type="paragraph" w:styleId="981">
    <w:name w:val="Footer"/>
    <w:basedOn w:val="973"/>
    <w:link w:val="9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2" w:customStyle="1">
    <w:name w:val="Нижний колонтитул Знак"/>
    <w:basedOn w:val="974"/>
    <w:link w:val="981"/>
    <w:uiPriority w:val="99"/>
    <w:pPr>
      <w:pBdr/>
      <w:spacing/>
      <w:ind/>
    </w:pPr>
  </w:style>
  <w:style w:type="paragraph" w:styleId="983">
    <w:name w:val="Document Map"/>
    <w:basedOn w:val="973"/>
    <w:link w:val="98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4" w:customStyle="1">
    <w:name w:val="Схема документа Знак"/>
    <w:basedOn w:val="974"/>
    <w:link w:val="9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5">
    <w:name w:val="Balloon Text"/>
    <w:basedOn w:val="973"/>
    <w:link w:val="98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6" w:customStyle="1">
    <w:name w:val="Текст выноски Знак"/>
    <w:basedOn w:val="974"/>
    <w:link w:val="98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7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88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989">
    <w:name w:val="Hyperlink"/>
    <w:basedOn w:val="97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0">
    <w:name w:val="Placeholder Text"/>
    <w:basedOn w:val="974"/>
    <w:uiPriority w:val="99"/>
    <w:semiHidden/>
    <w:pPr>
      <w:pBdr/>
      <w:spacing/>
      <w:ind/>
    </w:pPr>
    <w:rPr>
      <w:color w:val="666666"/>
    </w:rPr>
  </w:style>
  <w:style w:type="character" w:styleId="991" w:customStyle="1">
    <w:name w:val="Неразрешенное упоминание1"/>
    <w:basedOn w:val="97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363&amp;n=182638&amp;dst=11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70FF-08A0-4D38-9A8D-182F39D8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20</cp:revision>
  <dcterms:created xsi:type="dcterms:W3CDTF">2024-08-12T14:40:00Z</dcterms:created>
  <dcterms:modified xsi:type="dcterms:W3CDTF">2025-08-11T07:30:49Z</dcterms:modified>
</cp:coreProperties>
</file>