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5387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31.05.2018 № 413</w:t>
      </w:r>
      <w:r>
        <w:rPr>
          <w:rFonts w:ascii="Times New Roman" w:hAnsi="Times New Roman"/>
          <w:sz w:val="28"/>
          <w:szCs w:val="28"/>
        </w:rPr>
        <w:t xml:space="preserve"> «Об условиях оплаты труда работников государственных учреждений культуры Республики Татарстан»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numPr>
          <w:ilvl w:val="0"/>
          <w:numId w:val="1"/>
        </w:numPr>
        <w:pBdr/>
        <w:tabs>
          <w:tab w:val="left" w:leader="none" w:pos="1134"/>
        </w:tabs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 xml:space="preserve">41</w:t>
      </w:r>
      <w:r>
        <w:rPr>
          <w:rFonts w:ascii="Times New Roman" w:hAnsi="Times New Roman" w:cs="Times New Roman"/>
          <w:sz w:val="28"/>
          <w:szCs w:val="28"/>
        </w:rPr>
        <w:t xml:space="preserve">3 «Об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1245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645, от 30.10.2021 № 1030, от 19.02.2022 № 141, от 15.06.2022 № 566, от 22.09.2022 № 1027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 24.05.2024 № 361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12.09.2024 № 779,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23.04.2025 № 260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ях оплаты труда работников профессиональных квалификационных групп должностей работников культуры, искусства и кинематографии государственных библ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иотек, музеев, других учреждений музейного типа и культурно-досуговых учреждений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52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«II. Определение базовых окладов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работников культуры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widowControl w:val="false"/>
        <w:pBdr/>
        <w:spacing w:after="0" w:line="360" w:lineRule="auto"/>
        <w:ind w:firstLine="851" w:left="0"/>
        <w:jc w:val="both"/>
        <w:outlineLvl w:val="1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Базовые оклады работников культуры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260"/>
      </w:tblGrid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44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205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3264"/>
      </w:tblGrid>
      <w:tr>
        <w:trPr>
          <w:tblHeader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технических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исполнителей и артистов вспомогательного состава»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 билетов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Смотритель музейный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(ансамбля), обслуживающего кинотеатры, рестораны, кафе и танцевальные 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Ассистенты: режиссера, дирижера, балетмейстера, хормейстера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дискотеки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билетными кассами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костюмерной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Контролер-посадчик аттракциона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участка ремонта и реставрации фильмофонда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режиссера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Распорядитель танцевального вечера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интересам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(старший администратор)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Аккомпаниатор-концертмейстер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Артист-вокалист (солист)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методист библиотеки, музея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других аналогичных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аттракционом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 (экскурсовод)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библиотеки, музея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других аналогичных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по составлению кинопрограмм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(музыкальный редактор)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библиотеки, музея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других аналогичных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по репертуару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методике клубной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учетно-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фольклору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экспозиционного и выставочного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 по свету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Художник-декоратор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Художник-оформитель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Художник-скульптор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Художник-фотограф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rPr/>
        <w:tc>
          <w:tcPr>
            <w:gridSpan w:val="2"/>
            <w:tcBorders/>
            <w:tcW w:w="102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ветеринарной лабораторией зоопарка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(пунктом) по прокату кино- и видеофильмов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зоопарка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эксплуатации аттракционной 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передвижной выставкой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реставрационной мастерской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художественно-оформительской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 (дирижер, балетмейстер, хормейстер)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 массовых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клубного формирования, любительского объединения, студии, коллектива самодеятельного искусства, клуба по интересам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культур</w:t>
      </w:r>
      <w:r>
        <w:rPr>
          <w:rFonts w:ascii="Times New Roman" w:hAnsi="Times New Roman" w:cs="Times New Roman"/>
          <w:sz w:val="28"/>
          <w:szCs w:val="28"/>
        </w:rPr>
        <w:t xml:space="preserve">ы, не включенных в профессиональные квалификационные группы «Должности работников культуры, искусства и кинематографии ведущего звена» и «Должности руководящего состава учреждений культуры, искусства и кинематографии»,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260"/>
      </w:tblGrid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44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10205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3264"/>
      </w:tblGrid>
      <w:tr>
        <w:trPr>
          <w:tblHeader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Хранитель музейных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учету музейных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Гид-переводчик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учета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26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по должностям «заведующий отделом (сектором) музея», «заведующий отделом (секторо</w:t>
      </w:r>
      <w:r>
        <w:rPr>
          <w:rFonts w:ascii="Times New Roman" w:hAnsi="Times New Roman" w:cs="Times New Roman"/>
          <w:sz w:val="28"/>
          <w:szCs w:val="28"/>
        </w:rPr>
        <w:t xml:space="preserve">м) учета музея», «заведующий отделом (сектором) библиотеки», «заведующий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</w:t>
      </w:r>
      <w:r>
        <w:rPr>
          <w:rFonts w:ascii="Times New Roman" w:hAnsi="Times New Roman" w:cs="Times New Roman"/>
          <w:sz w:val="28"/>
          <w:szCs w:val="28"/>
        </w:rPr>
        <w:t xml:space="preserve">осуга) и других аналогичных учреждений и организаций», «заведующий отделом (сектором) зоопарка», «заведующий отделением (пунктом) по прокату кино- и видеофильмов» и «художественный руководитель» применяется повышающий коэффициент к базовому окладу – 1,1.»;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/>
        <w:ind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«Таблица 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Оклады руководителей учреждений культуры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93"/>
        <w:gridCol w:w="992"/>
        <w:gridCol w:w="992"/>
        <w:gridCol w:w="1134"/>
        <w:gridCol w:w="1134"/>
        <w:gridCol w:w="851"/>
      </w:tblGrid>
      <w:tr>
        <w:trPr/>
        <w:tc>
          <w:tcPr>
            <w:shd w:val="clear" w:color="ffffff" w:themeColor="background1" w:fill="ffffff" w:themeFill="background1"/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оклада в месяц,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штатная численность работников, ставок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 до 30,999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 до 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51 до 75,999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76 до 150,999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151 до 300,999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301 до 500,999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93"/>
        <w:gridCol w:w="992"/>
        <w:gridCol w:w="992"/>
        <w:gridCol w:w="1134"/>
        <w:gridCol w:w="1134"/>
        <w:gridCol w:w="851"/>
      </w:tblGrid>
      <w:tr>
        <w:trPr>
          <w:tblHeader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58,85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62,7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72,05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78,1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Клубы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43,45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51,15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54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58,85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66,0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78,1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Музеи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45,1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50,05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51,7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62,7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72,05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78,1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Культурно-досуговый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56,65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58,3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Местное радиовещание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42,35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Киновидео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-объединения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39,6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45,65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39,6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58,3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59,4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-»;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52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«Таблица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 выплат стимулирующего характера за качество выполняемых работ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руководителей учреждений культуры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93"/>
        <w:gridCol w:w="992"/>
        <w:gridCol w:w="992"/>
        <w:gridCol w:w="1134"/>
        <w:gridCol w:w="1134"/>
        <w:gridCol w:w="851"/>
      </w:tblGrid>
      <w:tr>
        <w:trPr/>
        <w:tc>
          <w:tcPr>
            <w:shd w:val="clear" w:color="ffffff" w:themeColor="background1" w:fill="ffffff" w:themeFill="background1"/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оклада в месяц,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штатная численность работников, ставок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 до 30,999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 до 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51 до 75,999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76 до 150,999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151 до 300,999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301 до 500,999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93"/>
        <w:gridCol w:w="992"/>
        <w:gridCol w:w="992"/>
        <w:gridCol w:w="1134"/>
        <w:gridCol w:w="1134"/>
        <w:gridCol w:w="851"/>
      </w:tblGrid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4,95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Клубы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Музеи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Культурно-досуговый 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Местное радиовещание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Киновидео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-объединения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3,85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-»;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52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 государственных учреждений исполнительского искусства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утвержденном указанным постановлением: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pBdr/>
        <w:spacing w:line="360" w:lineRule="auto"/>
        <w:ind w:firstLine="85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«II. Определение базовых окладов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исполнительского искусства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6"/>
        <w:pBdr/>
        <w:spacing w:line="360" w:lineRule="auto"/>
        <w:ind w:firstLine="85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10063" w:type="dxa"/>
        <w:tblCellMar>
          <w:left w:w="62" w:type="dxa"/>
          <w:right w:w="62" w:type="dxa"/>
        </w:tblCellMar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3122"/>
      </w:tblGrid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hd w:val="clear" w:color="auto" w:fill="ffffff" w:themeFill="background1"/>
              <w:spacing w:line="276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10063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3122"/>
      </w:tblGrid>
      <w:tr>
        <w:trPr>
          <w:tblHeader/>
        </w:trPr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технических исполнителей и артистов вспомогательного состава»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вспомогательного состава театров и концертных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номера в цирке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Контролер билетов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исполнительского искусства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(ансамбля), обслуживающего кинотеатры, рестораны, кафе и танцевальные площадки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Дрессировщик цирка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билетными кассами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Суфлер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балета цирка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Ассистенты: режиссера, дирижера, балетмейстера, хормейстера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костюмерной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режиссера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Репетитор по технике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33 330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исполнительского искусства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Аккомпаниатор-концертмейстер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хора - в театрах музыкальной комедии (оперетты), в музыкально-драматических, 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Администратор, кроме администраторов, отнесенных к третьему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- воздушный гимнаст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жанра «эквилибр»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жанра дрессуры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жанра жонглирования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жанра иллюзии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жанра конной дрессуры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коверный, буффонадный клоун, музыкальный эксцентрик, сатирик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ансамблей песни и 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спортивно-акробатического жанра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хора в театрах оперы и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эстрадного оркестра (ансамбля) - все артисты оркестра, кроме артистов, отнесенных к третьему - пятому квалификационным уровням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Артисты - концертные исполнители (всех жанров), кроме артистов - концертных исполнителей вспомогательного состава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по репертуару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Репетитор по балету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Репетитор по вокалу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Администратор, старший администратор в театрах оперы и балета, в театрах музыкальной комедии (оперетты), в музыкально-драматических, 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цирках, концертных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(кукловод) театра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балета ансамбля песни и танца, танцевального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драмы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ансамблей песни и танца, артист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эстрадного оркестра (ансамбля) - третий и четвертый пульт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рояль, челеста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эстрадно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-симфонического, духового оркестров, оркестра народных инструментов, кроме отнесенных к четвертому и пятому квалификационным уровням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хора ансамбля песни и танца, хорового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Артист-вокалист (солист)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манежа (ведущий представление)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по классу вокала (балета)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(музыкальный редактор)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Репетитор цирковых номеров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 по свету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Художник-бутафор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Художник-гример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Художник-декоратор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Художник-модельер театрального костюма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Художник-постановщик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Художник-скульптор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ансамблей песни и 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артист эстрадного оркестра (ансамбля) - концертмейстер и заместитель концертмейстера первых скрипок, вторых скрипок, альтов, виолончелей, контрабасов, второй пульт указанных групп инструментов, первые голоса деревянных и медных духовых инструментов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регуляторы, первая арфа, бас-тромбон, туба, литавры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эстрадно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-симфонического, духового оркестров, оркестра народных инструментов - третий и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етвертый пульты первых скрипок и виолончелей, вторые пульты вторых скрипок, альтов, контрабасов, вторая флейта, второй гобой, второй кларнет, вторая и четвертая валторны, вторая труба, второй тромбон, мелкие ударные инструменты (в симфонических, камерных,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эстрадно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-симфонических оркестрах),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контрабасы (в духовых оркестрах), концертмейстеры и заместители концертмейстеров, солисты оркестра, виртуозно владеющие русскими народными инструментами (балалайка, домра, баян, гусли, жалейка, владимирский рожок и др.) (для оркестра народных инструментов)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Лектор-искусствовед (музыковед)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главного режиссера (главного дирижера, главного балетмейстера, художественного руководителя), заведующий труппой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Чтец - мастер художественного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оркестра ансамблей песни и танца, артист эстрадного оркестра (ансамбля) - ведущий концертмейстер, руководитель группы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эстрадно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-симфонического, духового оркестров, оркестра народных инструментов - концертмейстер и заместитель концертмейст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 первых скрипок и виолончелей, вторых скрипок, альтов, контрабасов, бас-тромбонов, туб, первые голоса деревянных и медных духовых инструментов и их регуляторы, первые арфа, литавры, рояль, гитара, аккордеон, мелкие ударные инструменты, ударная установка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33 770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руководящего состава учреждений исполнительского искусства»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Звукорежиссер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 (дирижер, балетмейстер, хормейстер), кроме отнесенных ко второму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Балетмейстер-постановщик, кроме отнесенных к третьему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творческого коллектива, программы циркового конвейера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музыкальной частью, кроме отнесенных к третьему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художественно-постановочной частью, кроме отнесенных к третьему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 (дирижер, балетмейстер, хормейстер) в театрах оперы и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Режиссер-постановщик, кроме отнесенных к третьему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литературно-драматургической части, кроме отнесенных к третьему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Балетмейстер-постановщик в театрах оперы и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балетмейстер, кроме отнесенных к четвертому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дирижер, кроме отнесенных к четвертому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режиссер, кроме отнесенных к четвертому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хормейстер, кроме отнесенных к четвертому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художник, кроме отнесенных к четвертому квалификационному уровню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музыкальной частью в театрах оперы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балета, театрах музыкальной комедии, в музыкально-драматических, 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в самостоятельных музыкальных и танцевальных коллективах, в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художественно-постановочной частью в театрах оперы и балета, в театрах музыкальной комедии, в музыкально-драматических, 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в самостоятельных музыкальных и танцевальных коллективах, концертных залах,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Режиссер-постановщик в театрах оперы и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литературно-драматургической части в театрах оперы и балета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балетмейстер в театрах оперы и балета, в театрах музыкальной комедии, в музыкально-драматических театрах, в цирках, в самостоятельных музыкальных и танцевальных коллективах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дирижер в театрах оперы и балета, в театрах музыкальной комедии, в музыкально-драматических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в самостоятельных музыкальных и танцевальных коллективах, в симфонических, камерных, духовых оркестрах и оркестрах народных инструментов в составе филармоний и концертных организаций, в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хормейстер в театрах оперы и балета, в театрах музыкальной комедии, в музыкально-драматических театрах, филармониях и концертных организациях, в самостоятельных музыкальных и танцевальных коллективах, в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режиссер в театрах оперы и балета, в театрах музыкальной комедии, в музыкально-драматических, 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в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4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художник в театрах оперы и балета, в театрах музыкальной комедии, в музыкально-драматических театрах, драматических театрах,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тюзах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театрах кукол, в цирках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2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«Таблица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60" w:lineRule="auto"/>
        <w:ind/>
        <w:jc w:val="center"/>
        <w:outlineLvl w:val="2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Оклады руково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дителей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учреждений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исполни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тельского искусства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93"/>
        <w:gridCol w:w="992"/>
        <w:gridCol w:w="992"/>
        <w:gridCol w:w="1134"/>
        <w:gridCol w:w="1134"/>
        <w:gridCol w:w="851"/>
      </w:tblGrid>
      <w:tr>
        <w:trPr/>
        <w:tc>
          <w:tcPr>
            <w:shd w:val="clear" w:color="ffffff" w:themeColor="background1" w:fill="ffffff" w:themeFill="background1"/>
            <w:tcBorders/>
            <w:tcW w:w="212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оклада в месяц,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shd w:val="clear" w:color="ffffff" w:themeColor="background1" w:fill="ffffff" w:themeFill="background1"/>
            <w:tcBorders/>
            <w:tcW w:w="793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штатная численность работников, ставок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bottom w:val="none" w:color="000000" w:sz="4" w:space="0"/>
            </w:tcBorders>
            <w:tcW w:w="2122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 до 30,999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 до 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51 до 75,999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76 до 150,999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151 до 300,999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301 до 500,999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992"/>
        <w:gridCol w:w="992"/>
        <w:gridCol w:w="992"/>
        <w:gridCol w:w="992"/>
        <w:gridCol w:w="1134"/>
        <w:gridCol w:w="1134"/>
        <w:gridCol w:w="848"/>
      </w:tblGrid>
      <w:tr>
        <w:trPr>
          <w:tblHeader/>
        </w:trPr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48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6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62,7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78,1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78,1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4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6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Концертные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72,05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78,1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84,15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4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6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Цирк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54,45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4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2126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58,3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59,4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4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-»;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44"/>
        <w:pBdr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spacing w:after="0" w:line="36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«Таблица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60" w:lineRule="auto"/>
        <w:ind/>
        <w:jc w:val="right"/>
        <w:outlineLvl w:val="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6"/>
        <w:pBdr/>
        <w:spacing w:line="36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Размер выплат стимулирующего характера за качество выполняемых работ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руководителей учреждений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исполнительского искусства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992"/>
        <w:gridCol w:w="1134"/>
        <w:gridCol w:w="993"/>
        <w:gridCol w:w="1275"/>
        <w:gridCol w:w="1134"/>
        <w:gridCol w:w="1134"/>
        <w:gridCol w:w="993"/>
      </w:tblGrid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tcBorders/>
            <w:tcW w:w="85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выплаты стимулирующего характера за качество выполняемых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месяц,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tcBorders/>
            <w:tcW w:w="85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8"/>
            <w:tcBorders/>
            <w:tcW w:w="850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штатная численность работников, ставок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 до 30,999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31 до 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51 до 75,999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76 до 150,999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151 до 300,999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301 до 500,999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275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9,35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Концертные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9,35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Цирк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8,25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155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3,85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7,15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-»;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944"/>
        <w:pBdr/>
        <w:spacing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 условиях оплаты труда работников профессиональных квалификационных групп должностей работников сферы научных исследований и разработок государственных учреждений культуры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у</w:t>
      </w:r>
      <w:r>
        <w:rPr>
          <w:rFonts w:ascii="Times New Roman" w:hAnsi="Times New Roman"/>
          <w:sz w:val="28"/>
          <w:szCs w:val="28"/>
          <w:highlight w:val="none"/>
        </w:rPr>
        <w:t xml:space="preserve">твер</w:t>
      </w:r>
      <w:r>
        <w:rPr>
          <w:rFonts w:ascii="Times New Roman" w:hAnsi="Times New Roman"/>
          <w:sz w:val="28"/>
          <w:szCs w:val="28"/>
        </w:rPr>
        <w:t xml:space="preserve">жденно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«II. Определение базовых окладов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сферы научных исследований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6"/>
        <w:pBdr/>
        <w:spacing w:line="360" w:lineRule="auto"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Научные 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36 190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36 850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09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37 400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базового оклада работников, занимающих должность «младший научный сотрудник музея» устанавливается в размере </w:t>
      </w:r>
      <w:r>
        <w:rPr>
          <w:rFonts w:ascii="Times New Roman" w:hAnsi="Times New Roman" w:cs="Times New Roman"/>
          <w:sz w:val="28"/>
          <w:szCs w:val="28"/>
        </w:rPr>
        <w:t xml:space="preserve">35 200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базового оклада работников, занимающих должности «научный сотрудник музея» и «старший научный сотрудник музея» устанавливается в размере </w:t>
      </w:r>
      <w:r>
        <w:rPr>
          <w:rFonts w:ascii="Times New Roman" w:hAnsi="Times New Roman" w:cs="Times New Roman"/>
          <w:sz w:val="28"/>
          <w:szCs w:val="28"/>
        </w:rPr>
        <w:t xml:space="preserve">36 190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2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2.1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профессиональны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ква</w:t>
      </w:r>
      <w:r>
        <w:rPr>
          <w:rFonts w:ascii="Times New Roman" w:hAnsi="Times New Roman" w:cs="Times New Roman"/>
          <w:sz w:val="28"/>
          <w:szCs w:val="28"/>
        </w:rPr>
        <w:t xml:space="preserve">лификационных групп профессий рабочих культуры, искусства и кинематографии государственных учреждений культуры 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pBdr/>
        <w:spacing w:line="360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рабочих культуры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60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>
        <w:trPr/>
        <w:tc>
          <w:tcPr>
            <w:tcBorders>
              <w:bottom w:val="none" w:color="000000" w:sz="4" w:space="0"/>
            </w:tcBorders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>
        <w:trPr>
          <w:tblHeader/>
        </w:trPr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рофессии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искусства и кинематографии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рофессии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искусства и кинематографии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vAlign w:val="center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</w:t>
      </w:r>
      <w:r>
        <w:rPr>
          <w:rFonts w:ascii="Times New Roman" w:hAnsi="Times New Roman" w:cs="Times New Roman"/>
          <w:sz w:val="28"/>
          <w:szCs w:val="28"/>
        </w:rPr>
        <w:t xml:space="preserve"> II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учреждений культуры 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6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профессиональных квалификационных групп общеотраслевых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профессий рабочих и общеотраслевых должностей руководителей,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специалистов и служащих государственных учреждений культуры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 государственных учреждений культуры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44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21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>
        <w:trPr/>
        <w:tc>
          <w:tcPr>
            <w:tcBorders>
              <w:bottom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9918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58"/>
      </w:tblGrid>
      <w:tr>
        <w:trPr>
          <w:tblHeader/>
        </w:trPr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профессии 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профессии 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4960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58" w:type="dxa"/>
            <w:textDirection w:val="lrTb"/>
            <w:noWrap w:val="false"/>
          </w:tcPr>
          <w:p>
            <w:pPr>
              <w:pStyle w:val="952"/>
              <w:pBdr/>
              <w:spacing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44"/>
        <w:pBdr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государственных учреждений культуры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21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4394"/>
      </w:tblGrid>
      <w:tr>
        <w:trPr/>
        <w:tc>
          <w:tcPr>
            <w:tcBorders>
              <w:bottom w:val="none" w:color="000000" w:sz="4" w:space="0"/>
            </w:tcBorders>
            <w:tcW w:w="552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9918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394"/>
      </w:tblGrid>
      <w:tr>
        <w:trPr>
          <w:tblHeader/>
        </w:trPr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«Общеотраслевые должности 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pStyle w:val="944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Соответствие должности и профессии работника квалификационным уровням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 xml:space="preserve">устанавлив</w:t>
      </w:r>
      <w:r>
        <w:rPr>
          <w:rFonts w:ascii="Times New Roman" w:hAnsi="Times New Roman" w:cs="Times New Roman"/>
          <w:sz w:val="28"/>
          <w:szCs w:val="28"/>
        </w:rPr>
        <w:t xml:space="preserve">ается согласно нормативным правовым актам Министерства здравоохранения и социального развития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</w:t>
      </w:r>
      <w:r>
        <w:rPr>
          <w:rFonts w:ascii="Times New Roman" w:hAnsi="Times New Roman" w:cs="Times New Roman"/>
          <w:sz w:val="28"/>
          <w:szCs w:val="28"/>
        </w:rPr>
        <w:t xml:space="preserve">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профессиональных квалификационных групп должностей работников сельского хозяйства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II. Определение базовых окладов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хозяйства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9918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>
        <w:trPr/>
        <w:tc>
          <w:tcPr>
            <w:tcBorders>
              <w:bottom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9918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>
        <w:trPr>
          <w:tblHeader/>
        </w:trPr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сельского хозяйства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фельдшер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27 390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«Должности работников сельского хозяйства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второй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второй категории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второй категории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 первой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первой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815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первой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44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профессиональных квалификационных групп должностей работников образования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II. Определение базовых окладов работников образования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18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58"/>
      </w:tblGrid>
      <w:tr>
        <w:trPr/>
        <w:tc>
          <w:tcPr>
            <w:tcBorders>
              <w:bottom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9918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>
        <w:trPr>
          <w:tblHeader/>
        </w:trPr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Профессионально-квалификационная группа 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25 960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Профессионально-квалификационная группа должностей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27 650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9918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(кроме должностей преподавателей, отнесенных к профессорско-преподавательскому составу)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95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II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профессиональных квалификационных групп должностей медицинских и </w:t>
      </w:r>
      <w:r>
        <w:rPr>
          <w:rFonts w:ascii="Times New Roman" w:hAnsi="Times New Roman" w:cs="Times New Roman"/>
          <w:sz w:val="28"/>
          <w:szCs w:val="28"/>
        </w:rPr>
        <w:t xml:space="preserve">фармацевтических работников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6"/>
        <w:pBdr/>
        <w:spacing w:line="360" w:lineRule="auto"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II. Определение базовых окладов работников здравоохранения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4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3119"/>
      </w:tblGrid>
      <w:tr>
        <w:trPr/>
        <w:tc>
          <w:tcPr>
            <w:tcBorders>
              <w:bottom w:val="non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W w:w="10060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3119"/>
      </w:tblGrid>
      <w:tr>
        <w:trPr>
          <w:tblHeader/>
        </w:trPr>
        <w:tc>
          <w:tcPr>
            <w:tcBorders/>
            <w:tcW w:w="254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«Средний медицинский 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27 760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54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(старший 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29 630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547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944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numPr>
          <w:ilvl w:val="0"/>
          <w:numId w:val="1"/>
        </w:numPr>
        <w:pBdr/>
        <w:tabs>
          <w:tab w:val="left" w:leader="none" w:pos="1134"/>
        </w:tabs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Установить, что настоящее постановление вступает в силу с 1 </w:t>
      </w:r>
      <w:r>
        <w:rPr>
          <w:rFonts w:ascii="Times New Roman" w:hAnsi="Times New Roman"/>
          <w:sz w:val="28"/>
          <w:szCs w:val="28"/>
        </w:rPr>
        <w:t xml:space="preserve">января 202</w:t>
      </w:r>
      <w:r>
        <w:rPr>
          <w:rFonts w:ascii="Times New Roman" w:hAnsi="Times New Roman"/>
          <w:sz w:val="28"/>
          <w:szCs w:val="28"/>
        </w:rPr>
        <w:t xml:space="preserve">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86" w:right="850" w:bottom="851" w:left="1134" w:header="426" w:footer="708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                                                                               А.В. 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1" w:name="P78"/>
      <w:r/>
      <w:bookmarkStart w:id="2" w:name="P2306"/>
      <w:r/>
      <w:bookmarkStart w:id="3" w:name="P2578"/>
      <w:r/>
      <w:bookmarkEnd w:id="1"/>
      <w:r/>
      <w:bookmarkEnd w:id="2"/>
      <w:r/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4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исполнение поручения Раиса Республики Татарстан Минних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анова Р.Н.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35612-МР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вышени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</w:t>
      </w:r>
      <w:r>
        <w:rPr>
          <w:rFonts w:ascii="Times New Roman" w:hAnsi="Times New Roman" w:cs="Times New Roman"/>
          <w:sz w:val="28"/>
          <w:szCs w:val="28"/>
        </w:rPr>
        <w:t xml:space="preserve">тся изменения в Положение об условиях оплаты труда работников профессиональных квалификационных групп должностей работников культуры, искусства и кинематографии государственных библиотек, музеев, других учреждений музейного типа и культурно-досуговых учреж</w:t>
      </w:r>
      <w:r>
        <w:rPr>
          <w:rFonts w:ascii="Times New Roman" w:hAnsi="Times New Roman" w:cs="Times New Roman"/>
          <w:sz w:val="28"/>
          <w:szCs w:val="28"/>
        </w:rPr>
        <w:t xml:space="preserve">дений культуры Республики Татарстан, Положение об условиях оплаты труда работников профессиональных квалификационных групп должностей работников культуры, искусства и кинематографии государственных учреждений исполнительского искусства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профессий рабочих культуры, искусства и кинематографии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должностей работников сельского хозяйства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должностей работников образования государственных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профессиональных квалификационных групп должностей медицинских и фармацевтических работников государственных учреждений культуры Республики Татарстан в части </w:t>
      </w:r>
      <w:r>
        <w:rPr>
          <w:rFonts w:ascii="Times New Roman" w:hAnsi="Times New Roman" w:cs="Times New Roman"/>
          <w:sz w:val="28"/>
          <w:szCs w:val="28"/>
        </w:rPr>
        <w:t xml:space="preserve">увеличения</w:t>
      </w:r>
      <w:r>
        <w:rPr>
          <w:rFonts w:ascii="Times New Roman" w:hAnsi="Times New Roman" w:cs="Times New Roman"/>
          <w:sz w:val="28"/>
          <w:szCs w:val="28"/>
        </w:rPr>
        <w:t xml:space="preserve"> базовых окладов работникам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окладов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руководителей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учреждений культуры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исполнительского искусства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а также выплат стимулирующего характера за качество выполн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яемых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работ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руководителей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учреждений культуры и исполнительского искусства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44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headerReference w:type="default" r:id="rId10"/>
      <w:footnotePr/>
      <w:endnotePr/>
      <w:type w:val="nextPage"/>
      <w:pgSz w:h="16838" w:orient="portrait" w:w="11905"/>
      <w:pgMar w:top="1134" w:right="850" w:bottom="1134" w:left="1134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96931087"/>
      <w:docPartObj>
        <w:docPartGallery w:val="Page Numbers (Top of Page)"/>
        <w:docPartUnique w:val="true"/>
      </w:docPartObj>
      <w:rPr/>
    </w:sdtPr>
    <w:sdtContent>
      <w:p>
        <w:pPr>
          <w:pStyle w:val="953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  <w:sdt>
    <w:sdtPr>
      <w15:appearance w15:val="boundingBox"/>
      <w:id w:val="-696931087"/>
      <w:docPartObj>
        <w:docPartGallery w:val="Page Numbers (Top of Page)"/>
        <w:docPartUnique w:val="true"/>
      </w:docPartObj>
      <w:rPr/>
    </w:sdtPr>
    <w:sdtContent>
      <w:p>
        <w:pPr>
          <w:pStyle w:val="953"/>
          <w:pBdr/>
          <w:spacing/>
          <w:ind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table" w:styleId="758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Heading 1"/>
    <w:basedOn w:val="940"/>
    <w:next w:val="940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5">
    <w:name w:val="Heading 2"/>
    <w:basedOn w:val="940"/>
    <w:next w:val="940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6">
    <w:name w:val="Heading 3"/>
    <w:basedOn w:val="940"/>
    <w:next w:val="940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7">
    <w:name w:val="Heading 4"/>
    <w:basedOn w:val="940"/>
    <w:next w:val="940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8">
    <w:name w:val="Heading 5"/>
    <w:basedOn w:val="940"/>
    <w:next w:val="940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9">
    <w:name w:val="Heading 6"/>
    <w:basedOn w:val="940"/>
    <w:next w:val="940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0">
    <w:name w:val="Heading 7"/>
    <w:basedOn w:val="940"/>
    <w:next w:val="940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40"/>
    <w:next w:val="940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40"/>
    <w:next w:val="940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1 Char"/>
    <w:basedOn w:val="94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41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41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4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41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41"/>
    <w:link w:val="8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41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41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41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0"/>
    <w:next w:val="940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41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0"/>
    <w:next w:val="940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41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0"/>
    <w:next w:val="940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41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40"/>
    <w:next w:val="940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41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2">
    <w:name w:val="No Spacing"/>
    <w:basedOn w:val="940"/>
    <w:uiPriority w:val="1"/>
    <w:qFormat/>
    <w:pPr>
      <w:pBdr/>
      <w:spacing w:after="0" w:line="240" w:lineRule="auto"/>
      <w:ind/>
    </w:pPr>
  </w:style>
  <w:style w:type="character" w:styleId="913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915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916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7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8">
    <w:name w:val="Header Char"/>
    <w:basedOn w:val="941"/>
    <w:link w:val="953"/>
    <w:uiPriority w:val="99"/>
    <w:pPr>
      <w:pBdr/>
      <w:spacing/>
      <w:ind/>
    </w:pPr>
  </w:style>
  <w:style w:type="character" w:styleId="919">
    <w:name w:val="Footer Char"/>
    <w:basedOn w:val="941"/>
    <w:link w:val="955"/>
    <w:uiPriority w:val="99"/>
    <w:pPr>
      <w:pBdr/>
      <w:spacing/>
      <w:ind/>
    </w:pPr>
  </w:style>
  <w:style w:type="paragraph" w:styleId="920">
    <w:name w:val="Caption"/>
    <w:basedOn w:val="940"/>
    <w:next w:val="9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1">
    <w:name w:val="footnote text"/>
    <w:basedOn w:val="940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Footnote Text Char"/>
    <w:basedOn w:val="941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940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Endnote Text Char"/>
    <w:basedOn w:val="941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Hyperlink"/>
    <w:basedOn w:val="9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8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9">
    <w:name w:val="toc 1"/>
    <w:basedOn w:val="940"/>
    <w:next w:val="940"/>
    <w:uiPriority w:val="39"/>
    <w:unhideWhenUsed/>
    <w:pPr>
      <w:pBdr/>
      <w:spacing w:after="100"/>
      <w:ind/>
    </w:pPr>
  </w:style>
  <w:style w:type="paragraph" w:styleId="930">
    <w:name w:val="toc 2"/>
    <w:basedOn w:val="940"/>
    <w:next w:val="940"/>
    <w:uiPriority w:val="39"/>
    <w:unhideWhenUsed/>
    <w:pPr>
      <w:pBdr/>
      <w:spacing w:after="100"/>
      <w:ind w:left="220"/>
    </w:pPr>
  </w:style>
  <w:style w:type="paragraph" w:styleId="931">
    <w:name w:val="toc 3"/>
    <w:basedOn w:val="940"/>
    <w:next w:val="940"/>
    <w:uiPriority w:val="39"/>
    <w:unhideWhenUsed/>
    <w:pPr>
      <w:pBdr/>
      <w:spacing w:after="100"/>
      <w:ind w:left="440"/>
    </w:pPr>
  </w:style>
  <w:style w:type="paragraph" w:styleId="932">
    <w:name w:val="toc 4"/>
    <w:basedOn w:val="940"/>
    <w:next w:val="940"/>
    <w:uiPriority w:val="39"/>
    <w:unhideWhenUsed/>
    <w:pPr>
      <w:pBdr/>
      <w:spacing w:after="100"/>
      <w:ind w:left="660"/>
    </w:pPr>
  </w:style>
  <w:style w:type="paragraph" w:styleId="933">
    <w:name w:val="toc 5"/>
    <w:basedOn w:val="940"/>
    <w:next w:val="940"/>
    <w:uiPriority w:val="39"/>
    <w:unhideWhenUsed/>
    <w:pPr>
      <w:pBdr/>
      <w:spacing w:after="100"/>
      <w:ind w:left="880"/>
    </w:pPr>
  </w:style>
  <w:style w:type="paragraph" w:styleId="934">
    <w:name w:val="toc 6"/>
    <w:basedOn w:val="940"/>
    <w:next w:val="940"/>
    <w:uiPriority w:val="39"/>
    <w:unhideWhenUsed/>
    <w:pPr>
      <w:pBdr/>
      <w:spacing w:after="100"/>
      <w:ind w:left="1100"/>
    </w:pPr>
  </w:style>
  <w:style w:type="paragraph" w:styleId="935">
    <w:name w:val="toc 7"/>
    <w:basedOn w:val="940"/>
    <w:next w:val="940"/>
    <w:uiPriority w:val="39"/>
    <w:unhideWhenUsed/>
    <w:pPr>
      <w:pBdr/>
      <w:spacing w:after="100"/>
      <w:ind w:left="1320"/>
    </w:pPr>
  </w:style>
  <w:style w:type="paragraph" w:styleId="936">
    <w:name w:val="toc 8"/>
    <w:basedOn w:val="940"/>
    <w:next w:val="940"/>
    <w:uiPriority w:val="39"/>
    <w:unhideWhenUsed/>
    <w:pPr>
      <w:pBdr/>
      <w:spacing w:after="100"/>
      <w:ind w:left="1540"/>
    </w:pPr>
  </w:style>
  <w:style w:type="paragraph" w:styleId="937">
    <w:name w:val="toc 9"/>
    <w:basedOn w:val="940"/>
    <w:next w:val="940"/>
    <w:uiPriority w:val="39"/>
    <w:unhideWhenUsed/>
    <w:pPr>
      <w:pBdr/>
      <w:spacing w:after="100"/>
      <w:ind w:left="1760"/>
    </w:p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paragraph" w:styleId="940" w:default="1">
    <w:name w:val="Normal"/>
    <w:qFormat/>
    <w:pPr>
      <w:pBdr/>
      <w:spacing w:after="200" w:line="276" w:lineRule="auto"/>
      <w:ind/>
    </w:p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944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45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46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47" w:customStyle="1">
    <w:name w:val="ConsPlusCell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48" w:customStyle="1">
    <w:name w:val="ConsPlusDocList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49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0"/>
      <w:lang w:eastAsia="ru-RU"/>
    </w:rPr>
  </w:style>
  <w:style w:type="paragraph" w:styleId="950" w:customStyle="1">
    <w:name w:val="ConsPlusJurTerm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6"/>
      <w:lang w:eastAsia="ru-RU"/>
    </w:rPr>
  </w:style>
  <w:style w:type="paragraph" w:styleId="951" w:customStyle="1">
    <w:name w:val="ConsPlusTextList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lang w:eastAsia="ru-RU"/>
    </w:rPr>
  </w:style>
  <w:style w:type="paragraph" w:styleId="952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953">
    <w:name w:val="Header"/>
    <w:basedOn w:val="940"/>
    <w:link w:val="95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4" w:customStyle="1">
    <w:name w:val="Верхний колонтитул Знак"/>
    <w:basedOn w:val="941"/>
    <w:link w:val="953"/>
    <w:uiPriority w:val="99"/>
    <w:pPr>
      <w:pBdr/>
      <w:spacing/>
      <w:ind/>
    </w:pPr>
  </w:style>
  <w:style w:type="paragraph" w:styleId="955">
    <w:name w:val="Footer"/>
    <w:basedOn w:val="940"/>
    <w:link w:val="95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6" w:customStyle="1">
    <w:name w:val="Нижний колонтитул Знак"/>
    <w:basedOn w:val="941"/>
    <w:link w:val="955"/>
    <w:uiPriority w:val="99"/>
    <w:pPr>
      <w:pBdr/>
      <w:spacing/>
      <w:ind/>
    </w:pPr>
  </w:style>
  <w:style w:type="paragraph" w:styleId="957">
    <w:name w:val="Normal (Web)"/>
    <w:basedOn w:val="94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778A-5843-4171-8B66-4F2F9B5F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cp:keywords/>
  <dc:description/>
  <cp:revision>132</cp:revision>
  <dcterms:created xsi:type="dcterms:W3CDTF">2024-04-24T14:58:00Z</dcterms:created>
  <dcterms:modified xsi:type="dcterms:W3CDTF">2025-08-11T07:30:09Z</dcterms:modified>
</cp:coreProperties>
</file>