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word/footer2.xml" ContentType="application/vnd.openxmlformats-officedocument.wordprocessingml.footer+xml"/>
  <Override PartName="/docProps/core.xml" ContentType="application/vnd.openxmlformats-package.core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«__» ________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абинета Министров Республики Татарстан от 25.0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.201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323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numPr>
          <w:ilvl w:val="0"/>
          <w:numId w:val="11"/>
        </w:numPr>
        <w:pBdr/>
        <w:tabs>
          <w:tab w:val="left" w:leader="none" w:pos="993"/>
        </w:tabs>
        <w:spacing w:after="0" w:line="240" w:lineRule="auto"/>
        <w:ind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Внести в постановление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25.0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.201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323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изменениями, внесенными постановлениями Кабинета Министров Республики Татарстан от 18.07.2012 № 611, от 31.12.2012 № 1183, от 30.01.2013 № 48, от 11.05.2013 № 313, от 29.06.2013 № 455, от 10.01.2014 № 2, от 17.01.2014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/>
        <w:t xml:space="preserve">№ 20, от 28.05.2014 № 362, от 25.08.2014 № 613, от 06.10.2014 № 726, от 10.10.2014 № 752, от 29.12.2014 № 1050, от 04.08.2015 № 565, от 30.12.2015 № 1025, от 02.09.2016 № 611, от 23.12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.2016 № 983, от 18.05.2017 № 292, от 27.09.2017 № 731, от 26.10.2017 № 809, от 31.10.2017 № 827, от 18.11.2017 № 885, от 22.01.2018 № 27, от 26.04.2018 № 293, от 29.10.2018 № 953, от 27.12.2018 № 1247, от 13.07.2019 № 578, от 28.08.2019 № 730, от 18.10.201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9 № 938, от 29.10.2019 № 967, от 20.12.2019 № 1176, от 28.05.2020 № 433, от 29.06.2020 № 539, от 08.07.2020 № 568, от 04.02.2021 № 54, от 26.07.2021 № 645, от 16.08.2021 № 737, от 23.09.2021 № 903, от 30.10.2021 № 1030, от 30.05.2022 № 499, от 20.06.2022 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587, от 15.07.2022 № 683, от 12.08.2022 № 797, от 14.09.2022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№ 1002, от 20.09.2022 № 1018, от 11.10.2022 № 1093, от 08.11.2022 № 1184, от 21.11.2022 № 1249, от 21.02.2023 № 171, от 10.08.2023 № 968, от 25.09.2023 № 1183, от 01.11.2023 № 1390, от 18.11.2023 № 1487, от 27.12.2023 № 1696, от 10.04.2024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/>
        <w:t xml:space="preserve">№ 247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от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.2024 №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419, от 17.06.2024 № 431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, от 15.08.2024 № 659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 04.09.2024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730, от 07.09.2024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741,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 25.10.2024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920, от 31.10.2024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951, от 04.03.2025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132,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 18.04.2025 № 247, от 22.05.2025 № 345, от 11.07.2025 № 504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следующие из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менения: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1055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hyperlink r:id="rId19" w:tooltip="https://login.consultant.ru/link/?req=doc&amp;base=RLAW363&amp;n=182638&amp;dst=100017" w:history="1"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Положени</w:t>
        </w:r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и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утвержденно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указанным постановлением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II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pBdr/>
        <w:spacing/>
        <w:ind w:firstLine="851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  <w:t xml:space="preserve">II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  <w:t xml:space="preserve">Определение базовых окладов работников государственных медицинских организаций Республики Татарстан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</w:r>
    </w:p>
    <w:p>
      <w:pPr>
        <w:pStyle w:val="1065"/>
        <w:pBdr/>
        <w:spacing/>
        <w:ind w:firstLine="851"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2.1. Базовые оклады работников профессиональных квалификационных групп должностей медицинских и фармацевтических работников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медицинских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Borders>
          <w:bottom w:val="none" w:color="auto" w:sz="0" w:space="0"/>
        </w:tblBorders>
        <w:tblLook w:val="04A0" w:firstRow="1" w:lastRow="0" w:firstColumn="1" w:lastColumn="0" w:noHBand="0" w:noVBand="1"/>
        <w:tblStyle w:val="1056"/>
      </w:tblPr>
      <w:tblGrid>
        <w:gridCol w:w="2618"/>
        <w:gridCol w:w="5315"/>
        <w:gridCol w:w="2268"/>
      </w:tblGrid>
      <w:tr>
        <w:trPr>
          <w:tblHeader/>
        </w:trPr>
        <w:tc>
          <w:tcPr>
            <w:tcBorders/>
            <w:tcW w:w="2618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"/>
          <w:szCs w:val="2"/>
          <w:highlight w:val="none"/>
        </w:rPr>
      </w:pP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</w:p>
    <w:tbl>
      <w:tblPr>
        <w:tblW w:w="10201" w:type="dxa"/>
        <w:tblBorders/>
        <w:tblLook w:val="04A0" w:firstRow="1" w:lastRow="0" w:firstColumn="1" w:lastColumn="0" w:noHBand="0" w:noVBand="1"/>
        <w:tblStyle w:val="1056"/>
      </w:tblPr>
      <w:tblGrid>
        <w:gridCol w:w="2618"/>
        <w:gridCol w:w="5315"/>
        <w:gridCol w:w="2268"/>
      </w:tblGrid>
      <w:tr>
        <w:trPr>
          <w:trHeight w:val="339"/>
          <w:tblHeader/>
        </w:trPr>
        <w:tc>
          <w:tcPr>
            <w:tcBorders/>
            <w:tcW w:w="2618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417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«Медицинский и фармацевтический персонал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85"/>
        </w:trPr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Санитар (санитарка)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/>
              </w:rPr>
              <w:t xml:space="preserve">25 650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Санитарка (мойщица)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606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Младшая медицинская сестра по уходу за больными (младший медицинский брат по уходу за больными)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Сестра-хозяйка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Фасовщица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61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«Средний медицинский и фармацевтический персонал»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Гигиенист стоматологический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/>
              </w:rPr>
              <w:t xml:space="preserve">26 660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 w:bidi="undefined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:lang w:val="undefined" w:bidi="undefined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Инструктор-дезинфектор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Инструктор по гигиеническому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Инструктор по лечебной физкультуре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Медицинский статистик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Инструктор по трудовой терапии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стерилизационной (медицинский брат стерилизационной)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Продавец оптики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63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Младший фармацевт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25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Медицинский дезинфектор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315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Медицинский регистратор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омощник врача по гигиене детей и подростков (врача по гигиене питания, врача по гигиене труда, врача по гигиеническому воспитанию, врача по коммунальной гигиене, врача по общей гигиене, врача-паразитолога, врача по радиационной гигиене, врача-эпидемиолога)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27 210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Помощник энтомолога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Лаборант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диетическая (медицинский брат диетический)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Рентгенолаборант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27 760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палатная (постовая) (медицинский брат палатный (постовой)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6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патронажная (медицинский брат патронажный)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95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приемного отделения (приемного покоя) (медицинский брат приемного отделения (приемного покоя)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502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по физиотерапии (медицинский брат по физиотерапии)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71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по массажу (медицинский брат по массажу)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749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по приему вызовов и передаче их выездным бригадам (медицинский брат по приему вызовов и передаче их выездным бригадам)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195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Зубной техник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563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Фельдшер по приему вызовов и передаче их выездным бригадам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459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участковая (медицинский брат участковый)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442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Медицинский лабораторный техник (фельдшер-лаборант)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Фармацевт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415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Медицинский оптик-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оптометрист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49"/>
        </w:trPr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Акушер (акушерка)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28 530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Фельдшер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Операционная медицинская сестра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(операционный 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анестезист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 (медицинский брат –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анестезист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Зубной врач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Медицинский технолог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процедурной (медицинский брат процедурной)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перевязочной (медицинский брат перевязочной)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Медицинская сестра врача общей практики (семейного врача) (медицинский брат врача общей практики (семейного врача)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Старший фармацевт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29 630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highlight w:val="none"/>
              </w:rPr>
            </w:r>
            <w:bookmarkStart w:id="0" w:name="_Hlk160178830"/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Старшая медицинская сестра (старший медицинский брат), старший акушер (старшая акушерка), старший фельдшер, старшая операционная медицинская сестра (старший операционный медицинский брат), старший зубной техник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Заведующ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 молочной кухней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Заведующий производством учреждений (отделов, отделений, лабораторий) зубопротезирования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Заведующий аптекой лечебно-профилактического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Заведующий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фельдшерско-акушерским пунктом –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 фельдшер (акушер (акушерка), 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Заведующий здравпунктом –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 фельдшер (медицинская сестра (медицинский брат)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Заведующий медпунктом –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 фельдшер (медицинская сестра (медицинский брат)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«Врачи и провизоры»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Врач-стажер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30 880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Провизор-стажер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Врачи-специалисты (кроме врачей-специалистов, отнесенных к третьему и четвертому квалификационным уровням)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32 090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Провизор-технолог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Провизор-аналитик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Врачи-специалисты стационарных подразделений лечебно-профилактических учреждений, станций (отделений) скорой медицинской помощи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33 060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Врачи-терапевты участковые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Врачи-педиатры участковые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Врачи общей практики (семейные врачи) (кроме врачей-специалистов, отнесен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ных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 к четвертому квалификационному уровню)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Врачи-специалисты хирургического профиля, оперирующие в стационарах лечебно-профилактических учреждений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34 630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Врач –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 анестезиолог-реаниматолог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Врач-патологоанатом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Врач –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 судебно-медицинский эксперт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3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Старший врач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>
          <w:trHeight w:val="202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Старший провизор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«Руководители структурных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подразделений учреждений с высшим медицинским и фармацевтическим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образованием (врач-специалист, провизор)»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Заведующий структурным подразделением (отделом, отделением, лабораторией, кабинетом, отрядом и др.) (кроме заведующих отделениями хирургического профиля стационаров)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36 470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Начальник структурного подразделения (отдела, отделения, лаборатории, кабинета, отряда и др.)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18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5315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Заведующий отделением хирургического профиля стационаров (анестезиологии-реанимации, реанимации и интенсивной терапии,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патолого-анатомических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, судебно-медицинской экспертизы)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38 260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Style w:val="1055"/>
        <w:pBdr/>
        <w:tabs>
          <w:tab w:val="left" w:leader="none" w:pos="851"/>
        </w:tabs>
        <w:spacing w:after="0" w:line="228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отдельных должностей медицинских и фармацевтических работников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медицинских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 с учетом сложности и важности выполняемых работ, степени самостоятельности и ответственности при выполнении поставленных задач применяются повышающие коэффициенты к базовому окладу: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должности «сестра-хозяйка»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медицинских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филиалов и других обособленных структурных подразделений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медицинских организаций Республики Татарстан, имеющих в своей структуре отделения и (или) центры, оказывающие преимущественно спе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циализированную медицинскую помощь по расширенному перечню профилей медицинской помощи и высокотехнологичную медицинскую помощь населению нескольких муниципальных образований Республики Татарстан (далее – отдельные государственные медицинские организации)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1,1;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должности «сестра-хозяйка» отдел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1,21;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профессиональной квалификационной группе «Средний медицинский и фармацевтический персонал» пятого квалификационного уровня отд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медицинских организаций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1,1;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должности с произ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водным наименованием «главный»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1,68 к должностному окладу по профессиональной квалификационной группе «Врачи и провизоры» второго квалификационного уровня отдельных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медицинских организаций;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должности «старший врач», «старший провизор»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медицинских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1,02;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должности «старший врач», «старший провизор» отд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медицинских организаций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1,1;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профессиональной квалификационной группе «Руководители структурных подразделений учреждений с высшим медицинским и фармацевтическим образованием (врач-специалист, провизор)» первого квалификационного уровня отд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медицинских организаций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1,3;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профессиональной квалификационной группе «Руководители структурных подразделений учреждений с высшим медицинским и фармацевтическим образованием (врач-специалист, провизор)» второго квалификационного уровня отд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медицинских организаций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1,3.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Применение указанных повышающих коэффициентов к базовому окладу образует новый базовый оклад и учитывается при начислении выплат компенсационного и стимулирующего характера.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Перечень отдельных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медицинских организаций приведен в приложении № 1 к настоящему Положению.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Указанные повышающие коэффициенты к базовому окладу медицинских и фармацевтических работников отдельных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медицинских организаций не применяются для установления должностных окладов медицинских и фармацевтических работников филиалов и других обособленных структурных подразделений данных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отдельных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медицинских организаций.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Базовый оклад работников, занимающих должности «медицинская сестра по функциональной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диагностике (медицинский брат по функциональной диагностике)», «</w:t>
      </w:r>
      <w:r>
        <w:rPr>
          <w:rFonts w:ascii="Times New Roman" w:hAnsi="Times New Roman"/>
          <w:sz w:val="28"/>
          <w:szCs w:val="28"/>
          <w:highlight w:val="none"/>
        </w:rPr>
        <w:t xml:space="preserve">медицинская сестра медико-социальной помощи (медицинский брат медико-социальной помощи)»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устанавливается в раз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27 760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Базовый оклад работников, занимающих должности «медицинская сестра общей практики (медицинский брат общ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ей практики)», «медицинская сестра по паллиативной медицинской помощи (медицинский брат по паллиативной медицинской помощи)», «медицинская сестра по профилактике (медицинский брат по профилактике)», «медицинская сестра по медицинской реабилитации (медицинс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кий брат по медицинской реабилитации)», «медицинская сестра – специалист по оказанию медицинской помощи обучающимся (медицинский брат – специалист по оказанию 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едицинской помощи обучающимся)», «медицинский статистик», имеющих высшее медицинское образование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бакалавриат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«медицинская сестра по медицинской реабилитации (медицинский брат по медицинской реабилитации)»,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«фельдшер скорой медицинской помощи»,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еющих среднее профессиональное медицинское образование устанавливается в размере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28 530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Базовый оклад работников, занимающих должность «заведующий каби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нетом медицинской профилактики 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фельдшер (медицинская сестра (медицинский брат)»,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«старший лаборант (старший медицинский лабораторный техник (старший фельдшер-лаборант), старш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ий медицинский технолог»,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устанавливается в размере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29 630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рублей.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055"/>
        <w:pBdr/>
        <w:tabs>
          <w:tab w:val="left" w:leader="none" w:pos="851"/>
        </w:tabs>
        <w:spacing w:after="0" w:line="22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Базовый оклад работников, занимающих должность «провизор», устанавливается в размере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32 090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рубле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2.2. Базовые оклады работников профессиональных квалификационных групп должностей работников, занятых в сфере здравоохранения и предоставления социальных услуг,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медицинских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28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W w:w="10201" w:type="dxa"/>
        <w:tblBorders/>
        <w:tblLook w:val="04A0" w:firstRow="1" w:lastRow="0" w:firstColumn="1" w:lastColumn="0" w:noHBand="0" w:noVBand="1"/>
        <w:tblStyle w:val="1056"/>
      </w:tblPr>
      <w:tblGrid>
        <w:gridCol w:w="2618"/>
        <w:gridCol w:w="4607"/>
        <w:gridCol w:w="2976"/>
      </w:tblGrid>
      <w:tr>
        <w:trPr>
          <w:trHeight w:val="20"/>
          <w:tblHeader/>
        </w:trPr>
        <w:tc>
          <w:tcPr>
            <w:tcBorders/>
            <w:tcW w:w="2618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7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специалистов второго уровня, осуществляющих предоставление социальных услуг»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Социальный работник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29 700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специалистов третьего уровня в учреждениях здравоохранения и осуществляющих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предоставление социальных услуг»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7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Специалист по социальной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33 940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460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Инструктор-методист по лечебной физкультуре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Биолог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35 750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460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Зоолог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460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Медицинский психолог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460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Химик-эксперт медицинской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 учреждениях здравоохранения и осуществляющих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социальных услуг»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2618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607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отделением (социальной службой)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36 470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28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Базовый оклад работников, занимающих должность «медицинский логопед», «медицинский физик», «судебный эксперт (эксперт-биохимик, эксперт-генетик, эксперт-химик)»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«специалист по физической реабилитации (кинезиоспециалист)», «специалист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эргореабилитации (эргоспециалист)», «нейропсихолог»,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устанавливается в размере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35 750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рублей.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Базовые оклады работников профессиональных квалификационных групп должностей работников сферы 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учных исследований и разработок государственных медицинских организаций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устанавливаются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следующих размерах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 w:line="228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686"/>
        <w:gridCol w:w="2976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9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28" w:lineRule="auto"/>
        <w:ind/>
        <w:rPr>
          <w:rFonts w:ascii="Times New Roman" w:hAnsi="Times New Roman" w:cs="Times New Roman"/>
          <w:sz w:val="2"/>
          <w:szCs w:val="2"/>
          <w:highlight w:val="none"/>
        </w:rPr>
      </w:pP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686"/>
        <w:gridCol w:w="2976"/>
      </w:tblGrid>
      <w:tr>
        <w:trPr>
          <w:trHeight w:val="20"/>
          <w:tblHeader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научных работников и руководителей структурных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vMerge w:val="restart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Младший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33 660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Старший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34 440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</w:p>
        </w:tc>
      </w:tr>
      <w:tr>
        <w:trPr>
          <w:trHeight w:val="6"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Ведущий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35 230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</w:p>
        </w:tc>
      </w:tr>
      <w:tr>
        <w:trPr>
          <w:trHeight w:val="6"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686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Главный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36 010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65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</w:t>
      </w:r>
      <w:r>
        <w:rPr>
          <w:rFonts w:ascii="Times New Roman" w:hAnsi="Times New Roman" w:cs="Times New Roman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Базовые оклады работников профессиональных квалификационных групп должностей работников образования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медицинских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304"/>
        <w:gridCol w:w="4193"/>
        <w:gridCol w:w="2704"/>
      </w:tblGrid>
      <w:tr>
        <w:trPr>
          <w:trHeight w:val="20"/>
        </w:trPr>
        <w:tc>
          <w:tcPr>
            <w:tcBorders/>
            <w:tcW w:w="3304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Профессиональная квалификационная группа должностей педагогических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работников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3304" w:type="dxa"/>
            <w:vMerge w:val="restart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 по труду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27 390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33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304" w:type="dxa"/>
            <w:vMerge w:val="restart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Инструктор-методист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27 500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33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304" w:type="dxa"/>
            <w:vMerge w:val="restart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27 650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33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304" w:type="dxa"/>
            <w:vMerge w:val="restart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Старший 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27 780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</w:p>
        </w:tc>
      </w:tr>
      <w:tr>
        <w:trPr>
          <w:trHeight w:val="47"/>
        </w:trPr>
        <w:tc>
          <w:tcPr>
            <w:tcBorders/>
            <w:tcW w:w="33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Учитель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7"/>
        </w:trPr>
        <w:tc>
          <w:tcPr>
            <w:tcBorders/>
            <w:tcW w:w="33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Учитель-логопед (логопед)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7"/>
        </w:trPr>
        <w:tc>
          <w:tcPr>
            <w:tcBorders/>
            <w:tcW w:w="33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Учитель-дефектолог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55"/>
        <w:pBdr/>
        <w:spacing w:after="0" w:line="240" w:lineRule="auto"/>
        <w:ind w:left="851"/>
        <w:jc w:val="center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pStyle w:val="1065"/>
        <w:pBdr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2.5. Базовые оклады работников профессиональных квалификационных групп должностей работников культуры, искусства и кинематографии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медицинских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819"/>
      </w:tblGrid>
      <w:tr>
        <w:trPr>
          <w:trHeight w:val="20"/>
        </w:trPr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28" w:lineRule="auto"/>
        <w:ind/>
        <w:rPr>
          <w:rFonts w:ascii="Times New Roman" w:hAnsi="Times New Roman" w:cs="Times New Roman"/>
          <w:sz w:val="2"/>
          <w:szCs w:val="2"/>
          <w:highlight w:val="none"/>
        </w:rPr>
      </w:pP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819"/>
      </w:tblGrid>
      <w:tr>
        <w:trPr>
          <w:trHeight w:val="20"/>
          <w:tblHeader/>
        </w:trPr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работников культуры, искусства и кинематографии среднего звена»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Аккомпаниатор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restart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27 450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Культорганизатор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работников культуры, искусства и кинематографии ведущего звена»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Звукооператор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restart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28 000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Ведущий библиотекарь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Главный библиотекарь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Художник-декоратор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Библиограф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Ведущий библиограф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Главный библиограф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Администратор (старший администратор)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Редактор библиотеки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Методист библиотеки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руководящего состава учреждений культуры, искусства и кинематографии»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Главный художник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restart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29 320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38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Заведующий отделом (сектором) библиотеки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vMerge w:val="continue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65"/>
        <w:pBdr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2.6. Базовые оклады работников профессиональных квалификационных групп работников сельского хозяйства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медицинских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55"/>
        <w:pBdr/>
        <w:spacing w:after="0" w:line="228" w:lineRule="auto"/>
        <w:ind w:left="851"/>
        <w:jc w:val="center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304"/>
        <w:gridCol w:w="4193"/>
        <w:gridCol w:w="2704"/>
      </w:tblGrid>
      <w:tr>
        <w:trPr>
          <w:trHeight w:val="20"/>
        </w:trPr>
        <w:tc>
          <w:tcPr>
            <w:tcBorders/>
            <w:tcW w:w="3304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201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  <w:t xml:space="preserve">Профессиональная квалификационная группа «Должности работников сельского хозяйства третьего уровня»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</w:rPr>
            </w:r>
          </w:p>
        </w:tc>
      </w:tr>
      <w:tr>
        <w:trPr>
          <w:trHeight w:val="20"/>
        </w:trPr>
        <w:tc>
          <w:tcPr>
            <w:tcBorders/>
            <w:tcW w:w="3304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Ветеринарный врач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27 450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3304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Ветеринарный врач II категории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27 500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3304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Ветеринарный врач I категории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27 560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</w:p>
        </w:tc>
      </w:tr>
      <w:tr>
        <w:trPr>
          <w:trHeight w:val="20"/>
        </w:trPr>
        <w:tc>
          <w:tcPr>
            <w:tcBorders/>
            <w:tcW w:w="3304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193" w:type="dxa"/>
            <w:textDirection w:val="lrTb"/>
            <w:noWrap w:val="false"/>
          </w:tcPr>
          <w:p>
            <w:pPr>
              <w:pStyle w:val="1065"/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Ветеринарный врач высшей категории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704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27 620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  <w:t xml:space="preserve">»;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14:ligatures w14:val="none"/>
              </w:rPr>
            </w:r>
          </w:p>
        </w:tc>
      </w:tr>
    </w:tbl>
    <w:p>
      <w:pPr>
        <w:pStyle w:val="1055"/>
        <w:pBdr/>
        <w:spacing w:after="0" w:line="228" w:lineRule="auto"/>
        <w:ind w:left="851"/>
        <w:jc w:val="center"/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1" w:name="P327"/>
      <w:r>
        <w:rPr>
          <w:highlight w:val="none"/>
        </w:rPr>
      </w:r>
      <w:bookmarkEnd w:id="1"/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Таблицу 5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first" r:id="rId16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 w:firstLine="540"/>
        <w:jc w:val="right"/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Таблица 5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</w:rPr>
      </w:r>
    </w:p>
    <w:p>
      <w:pPr>
        <w:pStyle w:val="1066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Размеры надбавок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66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за наличие государственных наград, ведомственных наград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66"/>
        <w:pBdr/>
        <w:spacing/>
        <w:ind/>
        <w:jc w:val="center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работникам государственных медицинских организаций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66"/>
        <w:pBdr/>
        <w:spacing/>
        <w:ind/>
        <w:jc w:val="center"/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/>
          <w:sz w:val="28"/>
          <w:szCs w:val="28"/>
          <w:highlight w:val="none"/>
        </w:rPr>
      </w:r>
    </w:p>
    <w:tbl>
      <w:tblPr>
        <w:tblW w:w="15181" w:type="dxa"/>
        <w:tblBorders/>
        <w:tblLayout w:type="fixed"/>
        <w:tblLook w:val="04A0" w:firstRow="1" w:lastRow="0" w:firstColumn="1" w:lastColumn="0" w:noHBand="0" w:noVBand="1"/>
        <w:tblStyle w:val="1056"/>
      </w:tblPr>
      <w:tblGrid>
        <w:gridCol w:w="2976"/>
        <w:gridCol w:w="2409"/>
        <w:gridCol w:w="2551"/>
        <w:gridCol w:w="2409"/>
        <w:gridCol w:w="2409"/>
        <w:gridCol w:w="2425"/>
      </w:tblGrid>
      <w:tr>
        <w:trPr>
          <w:cantSplit/>
          <w:tblHeader/>
        </w:trPr>
        <w:tc>
          <w:tcPr>
            <w:tcBorders>
              <w:bottom w:val="non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Квалификационный уровень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Borders>
              <w:bottom w:val="single" w:color="000000" w:themeColor="text1" w:sz="4" w:space="0"/>
            </w:tcBorders>
            <w:tcW w:w="97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Размер надбавки, рублей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cantSplit/>
          <w:tblHeader/>
        </w:trPr>
        <w:tc>
          <w:tcPr>
            <w:tcBorders>
              <w:bottom w:val="none" w:color="000000" w:sz="4" w:space="0"/>
            </w:tcBorders>
            <w:tcW w:w="2976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 нали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чие почетных званий Республики Татарстан, почетных званий автономных республик в составе Союза Советских Социалистических Республик, за наличие Почетной грамоты Республики Татарстан, нагрудного знака «Почетный работник здравоохранения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 наличие почетных званий Российской Федерации, почетных званий Союза Советских Социалистических Республик, почетных званий союзных республик в составе Союза Советских Социалистических Республик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 наличие ведомственных наград Российской Федерации, ведомственных наград Союза Советских Социалистических Республик, ведомственных наград союзных республик в составе Союза Советских Социалистических Республик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W w:w="24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 наличие Почетной грамоты Министерства просвещения Российской Федерации (Почетной грамоты Министерства образования и науки Российской Федерации, Почетной грамоты Министерства образования Российской Федерации), нагрудного знака «За заслуги в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"/>
          <w:szCs w:val="2"/>
          <w:highlight w:val="none"/>
        </w:rPr>
      </w:pP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</w:p>
    <w:tbl>
      <w:tblPr>
        <w:tblW w:w="15181" w:type="dxa"/>
        <w:tblBorders/>
        <w:tblLayout w:type="fixed"/>
        <w:tblLook w:val="04A0" w:firstRow="1" w:lastRow="0" w:firstColumn="1" w:lastColumn="0" w:noHBand="0" w:noVBand="1"/>
        <w:tblStyle w:val="1056"/>
      </w:tblPr>
      <w:tblGrid>
        <w:gridCol w:w="2976"/>
        <w:gridCol w:w="2409"/>
        <w:gridCol w:w="2551"/>
        <w:gridCol w:w="2409"/>
        <w:gridCol w:w="2409"/>
        <w:gridCol w:w="2425"/>
      </w:tblGrid>
      <w:tr>
        <w:trPr>
          <w:cantSplit/>
          <w:trHeight w:val="339"/>
          <w:tblHeader/>
        </w:trPr>
        <w:tc>
          <w:tcPr>
            <w:tcBorders/>
            <w:tcW w:w="2976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25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39"/>
        </w:trPr>
        <w:tc>
          <w:tcPr>
            <w:tcBorders/>
            <w:tcW w:w="2976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«Медицинский и фармацевтический персонал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 w:line="228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2 052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2 565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844"/>
        </w:trPr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«Средний медицинский и фармацевтический персонал, должности «медицинская сестра по функциональной диагностике (медицинский брат по функциональной 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иагностике), «медицинская сестра медико-социальной помощи (медицинский брат медико-социальной помощи)», «медицинская сестра общей практики (медицинский брат общей практики)», «медицинская сестра по паллиативной медицинской помощи (медицинский брат по палли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ативной медицинской помощи)», «медицинская сестра по профилактике (медицинский брат по профилактике)», «медицинская сестра по медицинской реабилитации (медицинский брат по медицинской реабилитации)», «медицинская сестра - специалист по оказанию медицинской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помощи обучающимся (медицинский брат - специалист по оказанию медицинской помощи обучающимся)», «медицинский статистик», «фел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ьдшер скорой медицинской помощи»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 «заведующий кабинетом медицинской профилактики - фельдшер (медицинская сестра (медицинский брат))», «старший лаборант (старший медицинский лабораторный техник (старший фельдшер-лаборант), старший медицинский технолог)»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2 133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2 666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800"/>
        </w:trPr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2 177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2 721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161"/>
        </w:trPr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2 221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2 776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263"/>
        </w:trPr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2 853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70"/>
        </w:trPr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2 370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2 963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525"/>
        </w:trPr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«Врачи и провизоры»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2 470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3 088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22"/>
        </w:trPr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2 567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3 209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22"/>
        </w:trPr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2 645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3 306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22"/>
        </w:trPr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3 463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22"/>
        </w:trPr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«Руководители структурных подразделений учреждений с высшим медицинским и фармацевтическим образованием (врач-специалист, провизор)»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Style w:val="1055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2 918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3 647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3 061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3 826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специалистов второго уровня, осуществляющих предоставление социальных услуг»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2 376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2 970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Должности специалистов третьего уровня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учреждениях здравоохранения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и осуществляющих предоставление социальных услуг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 должности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медицинский логопед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медицинский физик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судебный эксперт (эксперт-биохимик, эксперт-генетик, эксперт-химик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специалист по физической реабилитации (кинезиоспециалист)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специалист по эргореабилитации (эргоспециалист)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нейропсихолог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3 394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2 860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3 575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руководителей в учреждениях здравоохранения и осуществляющих предоставление социальных услуг»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2 918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3 647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научных работников и руководителей структурных подразделений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2 693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3 366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2 755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3 444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2 818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3 523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2 881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3 601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должностей педагогических работников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2 191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2 739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1 643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1096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2 765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1 659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1106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1 667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1111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5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работников культуры, искусства и кинематографии среднего звена»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2 196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365"/>
        </w:trPr>
        <w:tc>
          <w:tcPr>
            <w:gridSpan w:val="2"/>
            <w:tcBorders/>
            <w:tcW w:w="5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работников культуры, искусства и кинематографии ведущего звена»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2 800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gridSpan w:val="2"/>
            <w:tcBorders/>
            <w:tcW w:w="5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руководящего состава учреждений культуры, искусства и кинематографии»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2 346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2 932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«Должности работников сельского хозяйства третьего уровня»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2 196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2 205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2 756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Borders/>
            <w:tcW w:w="29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55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2 210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2 762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/>
            <w:tcW w:w="242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-»;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11"/>
          <w:headerReference w:type="even" r:id="rId12"/>
          <w:headerReference w:type="first" r:id="rId13"/>
          <w:footerReference w:type="first" r:id="rId17"/>
          <w:footnotePr/>
          <w:endnotePr/>
          <w:type w:val="nextPage"/>
          <w:pgSz w:h="11905" w:orient="landscape" w:w="16838"/>
          <w:pgMar w:top="1134" w:right="1134" w:bottom="567" w:left="1134" w:header="709" w:footer="709" w:gutter="0"/>
          <w:pgNumType w:start="10"/>
          <w:cols w:num="1" w:sep="0" w:space="720" w:equalWidth="1"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ункт 6.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76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6.3. Базовые оклады руководителей государственных медицинских организаций Республики 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атарстан устанавливаются в зависимости от группы, подгруппы по типу государственной медицинской организации Республики Татарстан в следующих размерах: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88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Ind w:w="-5" w:type="dxa"/>
        <w:tblW w:w="10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5514"/>
        <w:gridCol w:w="2553"/>
      </w:tblGrid>
      <w:tr>
        <w:trPr>
          <w:trHeight w:val="2363"/>
        </w:trPr>
        <w:tc>
          <w:tcPr>
            <w:tcBorders/>
            <w:tcW w:w="21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Группа, подгруппа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Тип государственной медицинской организации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Размер базового оклада руководителей государственных медицинских организаций Республики Татарстан в месяц, рублей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4005"/>
        </w:trPr>
        <w:tc>
          <w:tcPr>
            <w:tcBorders/>
            <w:tcW w:w="21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Группа 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Государственные медицинские организации республиканского уровня (больницы, в том числе инфекционные, психиатрические, противотуберку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лезные; диспансеры, в том числе наркологические, психиатрические, противотуберкулезные, кожно-венерологические; межрегиональные центры; центры по профилактике и борьбе со СПИД и инфекционными заболеваниями; стоматологические поликлиники; учреждения оказыва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ющие круглосуточную неотложную медицинскую помощь), межрайонные больницы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774"/>
        </w:trPr>
        <w:tc>
          <w:tcPr>
            <w:tcBorders/>
            <w:tcW w:w="2131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подгруппа 1.1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оказывающие высокотехнологичную медицинскую помощь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82 280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590"/>
        </w:trPr>
        <w:tc>
          <w:tcPr>
            <w:tcBorders/>
            <w:tcW w:w="21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подгруппа 1.2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не оказывающие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высокотехнологичную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медицинскую помощь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77 440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086"/>
        </w:trPr>
        <w:tc>
          <w:tcPr>
            <w:tcBorders/>
            <w:tcW w:w="21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Группа 2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Станции скорой медицинской помощи,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центры крови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, бюро судебно-медицинской экспертизы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75 830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181"/>
        </w:trPr>
        <w:tc>
          <w:tcPr>
            <w:tcBorders/>
            <w:tcW w:w="213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подгруппа 2.1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осударственное автономное учреждение здравоохранения «Станция скорой медицинской помощи» г. Казани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82 280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181"/>
        </w:trPr>
        <w:tc>
          <w:tcPr>
            <w:tcBorders/>
            <w:tcW w:w="21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Группа 3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Центральные районные и городские больницы, клиники,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госпитали ветеранов войн,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санатории,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дома ребенка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425"/>
        </w:trPr>
        <w:tc>
          <w:tcPr>
            <w:tcBorders/>
            <w:tcW w:w="21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подгруппа 3.1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оказывающие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высокотехнологичную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медицинскую помощь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со штатной численностью более 2500 ставок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72 600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600"/>
        </w:trPr>
        <w:tc>
          <w:tcPr>
            <w:tcBorders/>
            <w:tcW w:w="21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подгруппа 3.2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не оказывающие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высокотехнологичную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медицинскую помощь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69 380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113"/>
        </w:trPr>
        <w:tc>
          <w:tcPr>
            <w:tcBorders/>
            <w:tcW w:w="21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Группа 4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Амбулаторно-поликлинические учреждения (за исключением стоматологических),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центры реабилитации,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центры общественного здоровья,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врачебно-физкультурные диспансеры,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эндокринологические диспансер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64 540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600"/>
        </w:trPr>
        <w:tc>
          <w:tcPr>
            <w:tcBorders/>
            <w:tcW w:w="21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Группа 5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Стоматологические поликлиники (кроме республиканских)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61 310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191"/>
        </w:trPr>
        <w:tc>
          <w:tcPr>
            <w:tcBorders/>
            <w:tcW w:w="213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Группа 6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  <w:t xml:space="preserve">Отдельные государственные медицинские организаций Республики Татарстан, не отнесенные к другим группам: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668"/>
        </w:trPr>
        <w:tc>
          <w:tcPr>
            <w:tcBorders/>
            <w:tcW w:w="213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государственное автономное учреждение здравоохранения «Республиканский медицинский информационно-аналитический центр»,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государственное автономное учреждение Республики Татарстан «Диспетчерский центр Министерства здравоохранения Республики Татарстан»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80 670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191"/>
        </w:trPr>
        <w:tc>
          <w:tcPr>
            <w:tcBorders/>
            <w:tcW w:w="213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государственное автономное учреждение «Республиканский медицинский библиотечно-информационный центр»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0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782"/>
        </w:trPr>
        <w:tc>
          <w:tcPr>
            <w:tcBorders/>
            <w:tcW w:w="213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государственное казенное учреждение здравоохранения «Республиканский медицинский центр мобилизационных резервов «Резерв» Министерства здравоохранения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r>
          </w:p>
        </w:tc>
      </w:tr>
      <w:tr>
        <w:trPr>
          <w:trHeight w:val="877"/>
        </w:trPr>
        <w:tc>
          <w:tcPr>
            <w:tcBorders/>
            <w:tcW w:w="213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shd w:val="clear" w:color="ffffff" w:fill="ffffff"/>
            <w:tcBorders/>
            <w:tcW w:w="5514" w:type="dxa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государственное автономное учреждение «Реабилитация»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/>
            <w:tcW w:w="255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II</w:t>
      </w:r>
      <w:r>
        <w:rPr>
          <w:rFonts w:ascii="Times New Roman" w:hAnsi="Times New Roman" w:cs="Times New Roman"/>
          <w:highlight w:val="none"/>
        </w:rPr>
        <w:t xml:space="preserve"> </w:t>
      </w:r>
      <w:hyperlink r:id="rId20" w:tooltip="https://login.consultant.ru/link/?req=doc&amp;base=RLAW363&amp;n=182638&amp;dst=111101" w:history="1"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Положени</w:t>
        </w:r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я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 условиях оплаты труда работников профессиональных квалификационных групп общеотраслевых профессий рабочих и общеотрасле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вых должностей руководителей, специалистов и служащих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Татарстан, утвержденно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указанным постановлением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изложить в следующей редакции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6"/>
        <w:pBdr/>
        <w:spacing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  <w:highlight w:val="none"/>
          <w:lang w:val="en-US"/>
        </w:rPr>
        <w:t xml:space="preserve">II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Определение базовых окладов работников профессиональных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66"/>
        <w:pBdr/>
        <w:spacing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квалификационных групп общеотраслевых профессий рабочих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66"/>
        <w:pBdr/>
        <w:spacing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 общеотраслевых должностей руководителей, специалистов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66"/>
        <w:pBdr/>
        <w:spacing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и служащих государственных медицинских организаций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66"/>
        <w:pBdr/>
        <w:spacing/>
        <w:ind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</w:p>
    <w:p>
      <w:pPr>
        <w:pStyle w:val="1066"/>
        <w:pBdr/>
        <w:spacing/>
        <w:ind/>
        <w:jc w:val="center"/>
        <w:outlineLvl w:val="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Базовые оклады работников профессиональных квалификационных групп общеотраслевых профессий рабочих государственных медицинских организаций Республики Татарстан устанавливаются в следующих размерах: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2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537"/>
      </w:tblGrid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7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2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рабочих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25 650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25 870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2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рабочих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26 030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26 220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26 420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53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27 010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1065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Базовые оклады работников профессиональных квалификационных групп общеотраслевых должностей руководителей, специалистов и служащих государственных медицинских организаций Республики Татарстан устанавливаются в следующих размерах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961"/>
      </w:tblGrid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Размер базового оклада в месяц,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"/>
          <w:szCs w:val="2"/>
          <w:highlight w:val="none"/>
        </w:rPr>
      </w:pP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  <w:r>
        <w:rPr>
          <w:rFonts w:ascii="Times New Roman" w:hAnsi="Times New Roman" w:cs="Times New Roman"/>
          <w:sz w:val="2"/>
          <w:szCs w:val="2"/>
          <w:highlight w:val="none"/>
        </w:rPr>
      </w:r>
    </w:p>
    <w:tbl>
      <w:tblPr>
        <w:tblW w:w="10201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961"/>
      </w:tblGrid>
      <w:tr>
        <w:trPr>
          <w:tblHeader/>
        </w:trPr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служащих первого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25 650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25 870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служащих второго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26 030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26 220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26 420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26 660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26 870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служащих третьего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27 080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27 300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27 560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Четвертый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27 780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Пятый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28 000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gridSpan w:val="2"/>
            <w:tcBorders/>
            <w:tcW w:w="10201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65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служащих четвертого уровня»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94"/>
        </w:trPr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Первый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29 040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Второй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29 260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240" w:type="dxa"/>
            <w:textDirection w:val="lrTb"/>
            <w:noWrap w:val="false"/>
          </w:tcPr>
          <w:p>
            <w:pPr>
              <w:pStyle w:val="1065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Третий квалификационный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none"/>
                <w:u w:val="none"/>
                <w:vertAlign w:val="baseline"/>
              </w:rPr>
              <w:t xml:space="preserve">29 480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1065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Соответствие должности и профессии работника квалиф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устанавливается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согласно нормативным правовым актам Министерства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Оплата труда работников, занятых по совместительству, а также на условиях неполного рабочего времени, производ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Установить, что настоящее постановление вступает в силу с 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января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Премьер-министр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Республики Татарстан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  <w:sectPr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7"/>
          <w:cols w:num="1" w:sep="0" w:space="720" w:equalWidth="1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ОЯСНИТЕЛЬНАЯ ЗАПИСКА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1065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к проекту постановления Кабинета Министров Республики Татарстан «О внесении изменений в постановление Кабинета Министров Республики Т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Татарстан»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1065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постановления «О внесении изменений в постановление Каб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инета Министров Республики Татарстан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авоохр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анения Республики Татарстан»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разработан во исполнение решения Раиса Республики Татарстан Минниханова Р.Н.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№35612-МР от 21.07.2025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 повышени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заработной платы работников государственных и муниципальных учреждений бюджетной сферы.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65"/>
        <w:pBdr/>
        <w:spacing w:line="288" w:lineRule="auto"/>
        <w:ind w:firstLine="567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Проектом постановления вносятся изменения в Положение об условиях оплаты труда работников медицинских организаций, подведомст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Татарстан, Положение об условиях оплаты труда работников профессиональных квалификационных групп общеотраслевых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профессий рабочих и общеотраслевых должностей руководителей, специалистов и служащих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еспублики Татарстан в части увеличения базовых окладов работников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руководител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государственной медицинской организации Республики Татарстан,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подведомственных респу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а также увеличения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азмеров надбавок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наличие государственных наград, ведомственных наград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1065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Выделение </w:t>
      </w:r>
      <w:bookmarkStart w:id="4" w:name="_Hlk172193018"/>
      <w:r>
        <w:rPr>
          <w:highlight w:val="none"/>
        </w:rPr>
      </w:r>
      <w:bookmarkStart w:id="5" w:name="_Hlk172535306"/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указанные цели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согласован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Раисом Республики Татарстан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Минниханов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Р.Н. </w:t>
      </w:r>
      <w:bookmarkEnd w:id="4"/>
      <w:r>
        <w:rPr>
          <w:rFonts w:ascii="Times New Roman" w:hAnsi="Times New Roman" w:cs="Times New Roman"/>
          <w:sz w:val="28"/>
          <w:szCs w:val="28"/>
          <w:highlight w:val="none"/>
        </w:rPr>
      </w:r>
      <w:bookmarkEnd w:id="5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1065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14"/>
      <w:headerReference w:type="first" r:id="rId15"/>
      <w:footnotePr/>
      <w:endnotePr/>
      <w:type w:val="nextPage"/>
      <w:pgSz w:h="16838" w:orient="portrait" w:w="11905"/>
      <w:pgMar w:top="1134" w:right="567" w:bottom="1134" w:left="1134" w:header="510" w:footer="709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55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1055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55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1055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57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57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57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57"/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pBdr/>
      <w:spacing/>
      <w:ind/>
      <w:jc w:val="center"/>
      <w:rPr/>
    </w:pPr>
    <w:r/>
    <w:r/>
  </w:p>
  <w:p>
    <w:pPr>
      <w:pStyle w:val="1057"/>
      <w:pBdr/>
      <w:spacing/>
      <w:ind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pBdr/>
      <w:spacing/>
      <w:ind/>
      <w:jc w:val="center"/>
      <w:rPr/>
    </w:pPr>
    <w:r/>
    <w:r/>
  </w:p>
  <w:p>
    <w:pPr>
      <w:pStyle w:val="105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404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7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4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2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9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6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83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0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80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571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5"/>
  </w:num>
  <w:num w:numId="5">
    <w:abstractNumId w:val="18"/>
  </w:num>
  <w:num w:numId="6">
    <w:abstractNumId w:val="17"/>
  </w:num>
  <w:num w:numId="7">
    <w:abstractNumId w:val="3"/>
  </w:num>
  <w:num w:numId="8">
    <w:abstractNumId w:val="4"/>
  </w:num>
  <w:num w:numId="9">
    <w:abstractNumId w:val="2"/>
  </w:num>
  <w:num w:numId="10">
    <w:abstractNumId w:val="14"/>
  </w:num>
  <w:num w:numId="11">
    <w:abstractNumId w:val="16"/>
  </w:num>
  <w:num w:numId="12">
    <w:abstractNumId w:val="7"/>
  </w:num>
  <w:num w:numId="13">
    <w:abstractNumId w:val="9"/>
  </w:num>
  <w:num w:numId="14">
    <w:abstractNumId w:val="11"/>
  </w:num>
  <w:num w:numId="15">
    <w:abstractNumId w:val="6"/>
  </w:num>
  <w:num w:numId="16">
    <w:abstractNumId w:val="0"/>
  </w:num>
  <w:num w:numId="17">
    <w:abstractNumId w:val="10"/>
  </w:num>
  <w:num w:numId="18">
    <w:abstractNumId w:val="12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1">
    <w:name w:val="Table Grid Light"/>
    <w:basedOn w:val="10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1"/>
    <w:basedOn w:val="10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2"/>
    <w:basedOn w:val="10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"/>
    <w:basedOn w:val="10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1"/>
    <w:basedOn w:val="10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2"/>
    <w:basedOn w:val="10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3"/>
    <w:basedOn w:val="10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4"/>
    <w:basedOn w:val="10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5"/>
    <w:basedOn w:val="10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6"/>
    <w:basedOn w:val="10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1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2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3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4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5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6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1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2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3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4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5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6"/>
    <w:basedOn w:val="10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1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2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3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4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5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6"/>
    <w:basedOn w:val="10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6">
    <w:name w:val="Heading 1"/>
    <w:basedOn w:val="1051"/>
    <w:next w:val="1051"/>
    <w:link w:val="10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7">
    <w:name w:val="Heading 2"/>
    <w:basedOn w:val="1051"/>
    <w:next w:val="1051"/>
    <w:link w:val="10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8">
    <w:name w:val="Heading 3"/>
    <w:basedOn w:val="1051"/>
    <w:next w:val="1051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9">
    <w:name w:val="Heading 4"/>
    <w:basedOn w:val="1051"/>
    <w:next w:val="1051"/>
    <w:link w:val="10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0">
    <w:name w:val="Heading 5"/>
    <w:basedOn w:val="1051"/>
    <w:next w:val="1051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1">
    <w:name w:val="Heading 6"/>
    <w:basedOn w:val="1051"/>
    <w:next w:val="1051"/>
    <w:link w:val="10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2">
    <w:name w:val="Heading 7"/>
    <w:basedOn w:val="1051"/>
    <w:next w:val="1051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3">
    <w:name w:val="Heading 8"/>
    <w:basedOn w:val="1051"/>
    <w:next w:val="1051"/>
    <w:link w:val="10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4">
    <w:name w:val="Heading 9"/>
    <w:basedOn w:val="1051"/>
    <w:next w:val="1051"/>
    <w:link w:val="10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5">
    <w:name w:val="Heading 1 Char"/>
    <w:basedOn w:val="1052"/>
    <w:link w:val="9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6">
    <w:name w:val="Heading 2 Char"/>
    <w:basedOn w:val="1052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7">
    <w:name w:val="Heading 3 Char"/>
    <w:basedOn w:val="1052"/>
    <w:link w:val="9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8">
    <w:name w:val="Heading 4 Char"/>
    <w:basedOn w:val="1052"/>
    <w:link w:val="99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09">
    <w:name w:val="Heading 5 Char"/>
    <w:basedOn w:val="1052"/>
    <w:link w:val="10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0">
    <w:name w:val="Heading 6 Char"/>
    <w:basedOn w:val="1052"/>
    <w:link w:val="10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1">
    <w:name w:val="Heading 7 Char"/>
    <w:basedOn w:val="1052"/>
    <w:link w:val="10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2">
    <w:name w:val="Heading 8 Char"/>
    <w:basedOn w:val="1052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3">
    <w:name w:val="Heading 9 Char"/>
    <w:basedOn w:val="1052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4">
    <w:name w:val="Title"/>
    <w:basedOn w:val="1051"/>
    <w:next w:val="1051"/>
    <w:link w:val="10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5">
    <w:name w:val="Title Char"/>
    <w:basedOn w:val="1052"/>
    <w:link w:val="10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6">
    <w:name w:val="Subtitle"/>
    <w:basedOn w:val="1051"/>
    <w:next w:val="1051"/>
    <w:link w:val="10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7">
    <w:name w:val="Subtitle Char"/>
    <w:basedOn w:val="1052"/>
    <w:link w:val="10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8">
    <w:name w:val="Quote"/>
    <w:basedOn w:val="1051"/>
    <w:next w:val="1051"/>
    <w:link w:val="10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19">
    <w:name w:val="Quote Char"/>
    <w:basedOn w:val="1052"/>
    <w:link w:val="10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0">
    <w:name w:val="Intense Emphasis"/>
    <w:basedOn w:val="10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1">
    <w:name w:val="Intense Quote"/>
    <w:basedOn w:val="1051"/>
    <w:next w:val="1051"/>
    <w:link w:val="10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2">
    <w:name w:val="Intense Quote Char"/>
    <w:basedOn w:val="1052"/>
    <w:link w:val="10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3">
    <w:name w:val="Intense Reference"/>
    <w:basedOn w:val="10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4">
    <w:name w:val="No Spacing"/>
    <w:basedOn w:val="1051"/>
    <w:uiPriority w:val="1"/>
    <w:qFormat/>
    <w:pPr>
      <w:pBdr/>
      <w:spacing w:after="0" w:line="240" w:lineRule="auto"/>
      <w:ind/>
    </w:pPr>
  </w:style>
  <w:style w:type="character" w:styleId="1025">
    <w:name w:val="Subtle Emphasis"/>
    <w:basedOn w:val="10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6">
    <w:name w:val="Emphasis"/>
    <w:basedOn w:val="1052"/>
    <w:uiPriority w:val="20"/>
    <w:qFormat/>
    <w:pPr>
      <w:pBdr/>
      <w:spacing/>
      <w:ind/>
    </w:pPr>
    <w:rPr>
      <w:i/>
      <w:iCs/>
    </w:rPr>
  </w:style>
  <w:style w:type="character" w:styleId="1027">
    <w:name w:val="Strong"/>
    <w:basedOn w:val="1052"/>
    <w:uiPriority w:val="22"/>
    <w:qFormat/>
    <w:pPr>
      <w:pBdr/>
      <w:spacing/>
      <w:ind/>
    </w:pPr>
    <w:rPr>
      <w:b/>
      <w:bCs/>
    </w:rPr>
  </w:style>
  <w:style w:type="character" w:styleId="1028">
    <w:name w:val="Subtle Reference"/>
    <w:basedOn w:val="10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29">
    <w:name w:val="Book Title"/>
    <w:basedOn w:val="10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30">
    <w:name w:val="Header Char"/>
    <w:basedOn w:val="1052"/>
    <w:link w:val="1057"/>
    <w:uiPriority w:val="99"/>
    <w:pPr>
      <w:pBdr/>
      <w:spacing/>
      <w:ind/>
    </w:pPr>
  </w:style>
  <w:style w:type="character" w:styleId="1031">
    <w:name w:val="Footer Char"/>
    <w:basedOn w:val="1052"/>
    <w:link w:val="1059"/>
    <w:uiPriority w:val="99"/>
    <w:pPr>
      <w:pBdr/>
      <w:spacing/>
      <w:ind/>
    </w:pPr>
  </w:style>
  <w:style w:type="paragraph" w:styleId="1032">
    <w:name w:val="Caption"/>
    <w:basedOn w:val="1051"/>
    <w:next w:val="10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3">
    <w:name w:val="footnote text"/>
    <w:basedOn w:val="1051"/>
    <w:link w:val="10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4">
    <w:name w:val="Footnote Text Char"/>
    <w:basedOn w:val="1052"/>
    <w:link w:val="1033"/>
    <w:uiPriority w:val="99"/>
    <w:semiHidden/>
    <w:pPr>
      <w:pBdr/>
      <w:spacing/>
      <w:ind/>
    </w:pPr>
    <w:rPr>
      <w:sz w:val="20"/>
      <w:szCs w:val="20"/>
    </w:rPr>
  </w:style>
  <w:style w:type="character" w:styleId="1035">
    <w:name w:val="footnote reference"/>
    <w:basedOn w:val="1052"/>
    <w:uiPriority w:val="99"/>
    <w:semiHidden/>
    <w:unhideWhenUsed/>
    <w:pPr>
      <w:pBdr/>
      <w:spacing/>
      <w:ind/>
    </w:pPr>
    <w:rPr>
      <w:vertAlign w:val="superscript"/>
    </w:rPr>
  </w:style>
  <w:style w:type="paragraph" w:styleId="1036">
    <w:name w:val="endnote text"/>
    <w:basedOn w:val="1051"/>
    <w:link w:val="10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7">
    <w:name w:val="Endnote Text Char"/>
    <w:basedOn w:val="1052"/>
    <w:link w:val="1036"/>
    <w:uiPriority w:val="99"/>
    <w:semiHidden/>
    <w:pPr>
      <w:pBdr/>
      <w:spacing/>
      <w:ind/>
    </w:pPr>
    <w:rPr>
      <w:sz w:val="20"/>
      <w:szCs w:val="20"/>
    </w:rPr>
  </w:style>
  <w:style w:type="character" w:styleId="1038">
    <w:name w:val="endnote reference"/>
    <w:basedOn w:val="1052"/>
    <w:uiPriority w:val="99"/>
    <w:semiHidden/>
    <w:unhideWhenUsed/>
    <w:pPr>
      <w:pBdr/>
      <w:spacing/>
      <w:ind/>
    </w:pPr>
    <w:rPr>
      <w:vertAlign w:val="superscript"/>
    </w:rPr>
  </w:style>
  <w:style w:type="character" w:styleId="1039">
    <w:name w:val="FollowedHyperlink"/>
    <w:basedOn w:val="10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0">
    <w:name w:val="toc 1"/>
    <w:basedOn w:val="1051"/>
    <w:next w:val="1051"/>
    <w:uiPriority w:val="39"/>
    <w:unhideWhenUsed/>
    <w:pPr>
      <w:pBdr/>
      <w:spacing w:after="100"/>
      <w:ind/>
    </w:pPr>
  </w:style>
  <w:style w:type="paragraph" w:styleId="1041">
    <w:name w:val="toc 2"/>
    <w:basedOn w:val="1051"/>
    <w:next w:val="1051"/>
    <w:uiPriority w:val="39"/>
    <w:unhideWhenUsed/>
    <w:pPr>
      <w:pBdr/>
      <w:spacing w:after="100"/>
      <w:ind w:left="220"/>
    </w:pPr>
  </w:style>
  <w:style w:type="paragraph" w:styleId="1042">
    <w:name w:val="toc 3"/>
    <w:basedOn w:val="1051"/>
    <w:next w:val="1051"/>
    <w:uiPriority w:val="39"/>
    <w:unhideWhenUsed/>
    <w:pPr>
      <w:pBdr/>
      <w:spacing w:after="100"/>
      <w:ind w:left="440"/>
    </w:pPr>
  </w:style>
  <w:style w:type="paragraph" w:styleId="1043">
    <w:name w:val="toc 4"/>
    <w:basedOn w:val="1051"/>
    <w:next w:val="1051"/>
    <w:uiPriority w:val="39"/>
    <w:unhideWhenUsed/>
    <w:pPr>
      <w:pBdr/>
      <w:spacing w:after="100"/>
      <w:ind w:left="660"/>
    </w:pPr>
  </w:style>
  <w:style w:type="paragraph" w:styleId="1044">
    <w:name w:val="toc 5"/>
    <w:basedOn w:val="1051"/>
    <w:next w:val="1051"/>
    <w:uiPriority w:val="39"/>
    <w:unhideWhenUsed/>
    <w:pPr>
      <w:pBdr/>
      <w:spacing w:after="100"/>
      <w:ind w:left="880"/>
    </w:pPr>
  </w:style>
  <w:style w:type="paragraph" w:styleId="1045">
    <w:name w:val="toc 6"/>
    <w:basedOn w:val="1051"/>
    <w:next w:val="1051"/>
    <w:uiPriority w:val="39"/>
    <w:unhideWhenUsed/>
    <w:pPr>
      <w:pBdr/>
      <w:spacing w:after="100"/>
      <w:ind w:left="1100"/>
    </w:pPr>
  </w:style>
  <w:style w:type="paragraph" w:styleId="1046">
    <w:name w:val="toc 7"/>
    <w:basedOn w:val="1051"/>
    <w:next w:val="1051"/>
    <w:uiPriority w:val="39"/>
    <w:unhideWhenUsed/>
    <w:pPr>
      <w:pBdr/>
      <w:spacing w:after="100"/>
      <w:ind w:left="1320"/>
    </w:pPr>
  </w:style>
  <w:style w:type="paragraph" w:styleId="1047">
    <w:name w:val="toc 8"/>
    <w:basedOn w:val="1051"/>
    <w:next w:val="1051"/>
    <w:uiPriority w:val="39"/>
    <w:unhideWhenUsed/>
    <w:pPr>
      <w:pBdr/>
      <w:spacing w:after="100"/>
      <w:ind w:left="1540"/>
    </w:pPr>
  </w:style>
  <w:style w:type="paragraph" w:styleId="1048">
    <w:name w:val="toc 9"/>
    <w:basedOn w:val="1051"/>
    <w:next w:val="1051"/>
    <w:uiPriority w:val="39"/>
    <w:unhideWhenUsed/>
    <w:pPr>
      <w:pBdr/>
      <w:spacing w:after="100"/>
      <w:ind w:left="1760"/>
    </w:pPr>
  </w:style>
  <w:style w:type="paragraph" w:styleId="1049">
    <w:name w:val="TOC Heading"/>
    <w:uiPriority w:val="39"/>
    <w:unhideWhenUsed/>
    <w:pPr>
      <w:pBdr/>
      <w:spacing/>
      <w:ind/>
    </w:pPr>
  </w:style>
  <w:style w:type="paragraph" w:styleId="1050">
    <w:name w:val="table of figures"/>
    <w:basedOn w:val="1051"/>
    <w:next w:val="1051"/>
    <w:uiPriority w:val="99"/>
    <w:unhideWhenUsed/>
    <w:pPr>
      <w:pBdr/>
      <w:spacing w:after="0" w:afterAutospacing="0"/>
      <w:ind/>
    </w:pPr>
  </w:style>
  <w:style w:type="paragraph" w:styleId="1051" w:default="1">
    <w:name w:val="Normal"/>
    <w:qFormat/>
    <w:pPr>
      <w:pBdr/>
      <w:spacing/>
      <w:ind/>
    </w:pPr>
  </w:style>
  <w:style w:type="character" w:styleId="1052" w:default="1">
    <w:name w:val="Default Paragraph Font"/>
    <w:uiPriority w:val="1"/>
    <w:semiHidden/>
    <w:unhideWhenUsed/>
    <w:pPr>
      <w:pBdr/>
      <w:spacing/>
      <w:ind/>
    </w:pPr>
  </w:style>
  <w:style w:type="table" w:styleId="105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54" w:default="1">
    <w:name w:val="No List"/>
    <w:uiPriority w:val="99"/>
    <w:semiHidden/>
    <w:unhideWhenUsed/>
    <w:pPr>
      <w:pBdr/>
      <w:spacing/>
      <w:ind/>
    </w:pPr>
  </w:style>
  <w:style w:type="paragraph" w:styleId="1055">
    <w:name w:val="List Paragraph"/>
    <w:basedOn w:val="1051"/>
    <w:uiPriority w:val="34"/>
    <w:qFormat/>
    <w:pPr>
      <w:pBdr/>
      <w:spacing/>
      <w:ind w:left="720"/>
      <w:contextualSpacing w:val="true"/>
    </w:pPr>
  </w:style>
  <w:style w:type="table" w:styleId="1056">
    <w:name w:val="Table Grid"/>
    <w:basedOn w:val="1053"/>
    <w:uiPriority w:val="3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7">
    <w:name w:val="Header"/>
    <w:basedOn w:val="1051"/>
    <w:link w:val="105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58" w:customStyle="1">
    <w:name w:val="Верхний колонтитул Знак"/>
    <w:basedOn w:val="1052"/>
    <w:link w:val="1057"/>
    <w:uiPriority w:val="99"/>
    <w:pPr>
      <w:pBdr/>
      <w:spacing/>
      <w:ind/>
    </w:pPr>
  </w:style>
  <w:style w:type="paragraph" w:styleId="1059">
    <w:name w:val="Footer"/>
    <w:basedOn w:val="1051"/>
    <w:link w:val="106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60" w:customStyle="1">
    <w:name w:val="Нижний колонтитул Знак"/>
    <w:basedOn w:val="1052"/>
    <w:link w:val="1059"/>
    <w:uiPriority w:val="99"/>
    <w:pPr>
      <w:pBdr/>
      <w:spacing/>
      <w:ind/>
    </w:pPr>
  </w:style>
  <w:style w:type="paragraph" w:styleId="1061">
    <w:name w:val="Document Map"/>
    <w:basedOn w:val="1051"/>
    <w:link w:val="106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62" w:customStyle="1">
    <w:name w:val="Схема документа Знак"/>
    <w:basedOn w:val="1052"/>
    <w:link w:val="106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63">
    <w:name w:val="Balloon Text"/>
    <w:basedOn w:val="1051"/>
    <w:link w:val="106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64" w:customStyle="1">
    <w:name w:val="Текст выноски Знак"/>
    <w:basedOn w:val="1052"/>
    <w:link w:val="106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65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1066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1067">
    <w:name w:val="Hyperlink"/>
    <w:basedOn w:val="105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68">
    <w:name w:val="Placeholder Text"/>
    <w:basedOn w:val="1052"/>
    <w:uiPriority w:val="99"/>
    <w:semiHidden/>
    <w:pPr>
      <w:pBdr/>
      <w:spacing/>
      <w:ind/>
    </w:pPr>
    <w:rPr>
      <w:color w:val="666666"/>
    </w:rPr>
  </w:style>
  <w:style w:type="character" w:styleId="1069" w:customStyle="1">
    <w:name w:val="Неразрешенное упоминание1"/>
    <w:basedOn w:val="105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customXml" Target="../customXml/item1.xml" /><Relationship Id="rId19" Type="http://schemas.openxmlformats.org/officeDocument/2006/relationships/hyperlink" Target="https://login.consultant.ru/link/?req=doc&amp;base=RLAW363&amp;n=182638&amp;dst=100017" TargetMode="External"/><Relationship Id="rId20" Type="http://schemas.openxmlformats.org/officeDocument/2006/relationships/hyperlink" Target="https://login.consultant.ru/link/?req=doc&amp;base=RLAW363&amp;n=182638&amp;dst=1111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0689-3A96-46ED-9C65-5DC76DB2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21</cp:revision>
  <dcterms:created xsi:type="dcterms:W3CDTF">2024-09-05T07:07:00Z</dcterms:created>
  <dcterms:modified xsi:type="dcterms:W3CDTF">2025-08-06T14:57:54Z</dcterms:modified>
</cp:coreProperties>
</file>