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/>
        <w:jc w:val="right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ПРОЕКТ</w:t>
      </w: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КАБИНЕТ МИНИСТРОВ РЕСПУБЛИКИ ТАТАРСТАН</w:t>
      </w: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ПОСТАНОВЛЕНИЕ</w:t>
      </w: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«___» _______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202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5</w:t>
        <w:tab/>
      </w:r>
      <w:r>
        <w:rPr>
          <w:rFonts w:ascii="Times New Roman" w:hAnsi="Times New Roman" w:eastAsia="Calibri"/>
          <w:sz w:val="28"/>
          <w:szCs w:val="28"/>
          <w:lang w:eastAsia="en-US"/>
        </w:rPr>
        <w:tab/>
      </w:r>
      <w:r>
        <w:rPr>
          <w:rFonts w:ascii="Times New Roman" w:hAnsi="Times New Roman" w:eastAsia="Calibri"/>
          <w:sz w:val="28"/>
          <w:szCs w:val="28"/>
          <w:lang w:eastAsia="en-US"/>
        </w:rPr>
        <w:tab/>
      </w:r>
      <w:r>
        <w:rPr>
          <w:rFonts w:ascii="Times New Roman" w:hAnsi="Times New Roman" w:eastAsia="Calibri"/>
          <w:sz w:val="28"/>
          <w:szCs w:val="28"/>
          <w:lang w:eastAsia="en-US"/>
        </w:rPr>
        <w:tab/>
      </w:r>
      <w:r>
        <w:rPr>
          <w:rFonts w:ascii="Times New Roman" w:hAnsi="Times New Roman" w:eastAsia="Calibri"/>
          <w:sz w:val="28"/>
          <w:szCs w:val="28"/>
          <w:lang w:eastAsia="en-US"/>
        </w:rPr>
        <w:tab/>
      </w:r>
      <w:r>
        <w:rPr>
          <w:rFonts w:ascii="Times New Roman" w:hAnsi="Times New Roman" w:eastAsia="Calibri"/>
          <w:sz w:val="28"/>
          <w:szCs w:val="28"/>
          <w:lang w:eastAsia="en-US"/>
        </w:rPr>
        <w:tab/>
      </w:r>
      <w:r>
        <w:rPr>
          <w:rFonts w:ascii="Times New Roman" w:hAnsi="Times New Roman" w:eastAsia="Calibri"/>
          <w:sz w:val="28"/>
          <w:szCs w:val="28"/>
          <w:lang w:eastAsia="en-US"/>
        </w:rPr>
        <w:tab/>
      </w:r>
      <w:r>
        <w:rPr>
          <w:rFonts w:ascii="Times New Roman" w:hAnsi="Times New Roman" w:eastAsia="Calibri"/>
          <w:sz w:val="28"/>
          <w:szCs w:val="28"/>
          <w:lang w:eastAsia="en-US"/>
        </w:rPr>
        <w:tab/>
        <w:t xml:space="preserve">№ ___</w:t>
      </w: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г. Казань</w:t>
      </w: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Bdr/>
        <w:spacing w:after="0" w:line="240" w:lineRule="auto"/>
        <w:ind w:right="5102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highlight w:val="none"/>
        </w:rPr>
      </w:r>
      <w:bookmarkStart w:id="2" w:name="_Hlk164337727"/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О внесении изменений в постановление Кабинета Министров Республики Татарстан от 16.02.2021 № 84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Об условиях оплаты труда работников государственного учреждения службы занятости населения Республики Татарстан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»</w:t>
      </w:r>
      <w:bookmarkEnd w:id="2"/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Bdr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Bdr/>
        <w:spacing w:after="0" w:line="288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Кабинет Министров Республики Татарстан ПОСТАНОВЛЯЕТ: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Bdr/>
        <w:spacing w:after="0" w:line="288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Bdr/>
        <w:spacing w:after="0" w:line="312" w:lineRule="auto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1. Внести в </w:t>
      </w:r>
      <w:hyperlink r:id="rId9" w:tooltip="https://login.consultant.ru/link/?req=doc&amp;base=RLAW363&amp;n=158902" w:history="1">
        <w:r>
          <w:rPr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none"/>
          </w:rPr>
          <w:t xml:space="preserve">постановление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Кабинета Министров Республики Татарстан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т 16.02.2021 № 84 «Об условиях оплаты труда работников государственного учреждения службы занятости населения Республики Татарстан» (с изменениями, внесенными постановлениями Кабинета Министров Республики Татарстан от 08.06.2021 № 436, от 26.07.2021 № 645,</w:t>
      </w:r>
      <w:r>
        <w:rPr>
          <w:rFonts w:ascii="Times New Roman" w:hAnsi="Times New Roman" w:eastAsia="Times New Roman" w:cs="Times New Roman"/>
          <w:color w:val="000000" w:themeColor="text1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от 22.09.2022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№ 1027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, от 18.04.2023 </w:t>
      </w:r>
      <w:hyperlink r:id="rId10" w:tooltip="https://login.consultant.ru/link/?req=doc&amp;base=RLAW363&amp;n=174072&amp;dst=100005" w:history="1">
        <w:r>
          <w:rPr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none"/>
          </w:rPr>
          <w:t xml:space="preserve">№ 488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, от 10.06.2024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№ 414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от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25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.0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.202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5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№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3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4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от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17.0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4.202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5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№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239) следующие изменения: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Bdr/>
        <w:spacing w:after="0" w:line="312" w:lineRule="auto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в Положении</w:t>
      </w:r>
      <w:r>
        <w:rPr>
          <w:rFonts w:ascii="Times New Roman" w:hAnsi="Times New Roman" w:eastAsia="Times New Roman" w:cs="Times New Roman"/>
          <w:color w:val="000000" w:themeColor="text1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об условиях оплаты труда работников государственного учреждения службы занятости населения Республики Татарстан, утвержденном указанным постановлением: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Bdr/>
        <w:spacing w:after="0" w:line="312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раздел II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изложить в следующей редакции: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Bdr/>
        <w:spacing w:after="0" w:line="312" w:lineRule="auto"/>
        <w:ind/>
        <w:jc w:val="center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«II. Определение базовых окладов работников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государственного учреждения службы занятости населения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Республики Татарстан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Bdr/>
        <w:spacing w:after="0" w:line="312" w:lineRule="auto"/>
        <w:ind/>
        <w:jc w:val="center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Bdr/>
        <w:spacing w:after="0" w:line="312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2.1. Базовые оклады работников государственного учреждения службы занятости населения Республики Татарстан устанавливаются: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Bdr/>
        <w:spacing w:after="0" w:line="312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для работников, занимающих должности «инспектор центра занятости населения», «профконсультант», «специалист центра занятости населения», в размере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val="en-US"/>
        </w:rPr>
        <w:t xml:space="preserve">44 120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рублей;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Bdr/>
        <w:spacing w:after="0" w:line="312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для работников, занимающих должности «инспектор центра занятости населения II категории», «профконсультант II категории», «специалист по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профориентации», «специалист по социальной и психологической адаптации граждан», в размере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val="en-US"/>
        </w:rPr>
        <w:t xml:space="preserve">44 130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рублей;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Bdr/>
        <w:spacing w:after="0" w:line="312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для работников, занимающих должности «инспектор центра занятости населения I категории», «профконсультант I категории», в размере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val="en-US"/>
        </w:rPr>
        <w:t xml:space="preserve">44 130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рублей;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Bdr/>
        <w:spacing w:after="0" w:line="312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для работников, занимающих должность «старший инспектор центра занятости населения», в размере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val="en-US"/>
        </w:rPr>
        <w:t xml:space="preserve">44 900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рублей;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Bdr/>
        <w:spacing w:after="0" w:line="312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для работников, занимающих должности «ведущий профконсультант», «ведущий инспектор центра занятости населения», «ведущий специалист центра занятости населения», в размере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val="en-US"/>
        </w:rPr>
        <w:t xml:space="preserve">45 100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рублей;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Bdr/>
        <w:spacing w:after="0" w:line="312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для работников, занимающих должности «главный специалист центра занятости населения», «главный инспектор центра занятости населения», в размере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val="en-US"/>
        </w:rPr>
        <w:t xml:space="preserve">45 430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рублей;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Bdr/>
        <w:spacing w:after="0" w:line="312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для работников, занимающих должность «заведующий сектором центра занятости населения», в размере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val="en-US"/>
        </w:rPr>
        <w:t xml:space="preserve">45 540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рублей;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Bdr/>
        <w:spacing w:after="0" w:line="312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для работников, занимающих должность «заместитель начальника отдела центра занятости населения», в размере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val="en-US"/>
        </w:rPr>
        <w:t xml:space="preserve">45 680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рублей;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Bdr/>
        <w:spacing w:after="0" w:line="312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для работников, занимающих должность «начальник отдела центра занятости населения», в размере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val="en-US"/>
        </w:rPr>
        <w:t xml:space="preserve">46 090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рублей;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Bdr/>
        <w:spacing w:after="0" w:line="312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для работников, занимающих должность «заместитель начальника Управления центра занятости населения», в размере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val="en-US"/>
        </w:rPr>
        <w:t xml:space="preserve">46 900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рублей;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Bdr/>
        <w:spacing w:after="0" w:line="312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для работников, занимающих должность «начальник Управления центра занятости населения», в размере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val="en-US"/>
        </w:rPr>
        <w:t xml:space="preserve">54 160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рублей;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Bdr/>
        <w:spacing w:after="0" w:line="312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для работников, занимающих должность «заместитель начальника департамента центра занятости населения», в размере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val="en-US"/>
        </w:rPr>
        <w:t xml:space="preserve">54 530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рублей;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Bdr/>
        <w:spacing w:after="0" w:line="312" w:lineRule="auto"/>
        <w:ind w:firstLine="54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для работников, занимающих должность «начальник департамента центра занятости населения», в размере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val="en-US"/>
        </w:rPr>
        <w:t xml:space="preserve">57 270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рублей.»;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Bdr/>
        <w:spacing w:after="0" w:line="312" w:lineRule="auto"/>
        <w:ind w:firstLine="54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абзаце первом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пункт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7.2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цифры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6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9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 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5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00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» заменить цифрами 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val="en-US"/>
        </w:rPr>
        <w:t xml:space="preserve">76 500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»;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Bdr/>
        <w:spacing w:after="0" w:line="312" w:lineRule="auto"/>
        <w:ind w:firstLine="54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раздел II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Положени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об условиях оплаты труда работников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профессиональных квалификационных групп общеотраслевых профессий рабочих и общеотраслевых должностей руководителей, специалистов и служащих государственного учреждения службы занятости населения Республики Татарстан, утвержденно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го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указанным постановлением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изложить в следующей редакции: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Bdr/>
        <w:spacing w:after="0" w:line="312" w:lineRule="auto"/>
        <w:ind/>
        <w:jc w:val="center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«II. Определение базовых окладов работников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val="en-US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профессиональных квалификационных групп общеотраслевых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val="en-US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профессий рабочих и общеотраслевых должностей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val="en-US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руководителей, специалистов и служащих государственного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val="en-US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учреждения службы занятости населения Республики Татарстан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Bdr/>
        <w:spacing w:after="0" w:line="312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Bdr/>
        <w:spacing w:after="0" w:line="312" w:lineRule="auto"/>
        <w:ind w:firstLine="54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2.1. Базовые оклады работников профессиональных квалификационных групп общеотраслевых профессий рабочих государственного учреждения службы занятости населения Республики Татарстан устанавливаются в следующих размерах: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Bdr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tbl>
      <w:tblPr>
        <w:tblW w:w="0" w:type="auto"/>
        <w:tblCellMar>
          <w:left w:w="62" w:type="dxa"/>
          <w:top w:w="102" w:type="dxa"/>
          <w:right w:w="62" w:type="dxa"/>
          <w:bottom w:w="102" w:type="dxa"/>
        </w:tblCellMar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5346"/>
        <w:gridCol w:w="4575"/>
      </w:tblGrid>
      <w:tr>
        <w:trPr>
          <w:trHeight w:val="627"/>
        </w:trPr>
        <w:tc>
          <w:tcPr>
            <w:tcBorders/>
            <w:tcW w:w="5346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sz w:val="28"/>
                <w:szCs w:val="28"/>
                <w:highlight w:val="none"/>
                <w:lang w:eastAsia="ru-RU"/>
              </w:rPr>
              <w:t xml:space="preserve">Квалификационный уровень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4575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sz w:val="28"/>
                <w:szCs w:val="28"/>
                <w:highlight w:val="none"/>
                <w:lang w:eastAsia="ru-RU"/>
              </w:rPr>
              <w:t xml:space="preserve">Размер базового оклада в месяц, рублей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</w:tc>
      </w:tr>
      <w:tr>
        <w:trPr>
          <w:trHeight w:val="130"/>
        </w:trPr>
        <w:tc>
          <w:tcPr>
            <w:tcBorders/>
            <w:tcW w:w="5346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 w:eastAsiaTheme="minorEastAsia"/>
                <w:color w:val="000000" w:themeColor="text1"/>
                <w:sz w:val="28"/>
                <w:szCs w:val="28"/>
                <w:highlight w:val="none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sz w:val="28"/>
                <w:szCs w:val="28"/>
                <w:highlight w:val="none"/>
                <w:lang w:val="en-US"/>
              </w:rPr>
              <w:t xml:space="preserve">1</w:t>
            </w:r>
            <w:r>
              <w:rPr>
                <w:rFonts w:ascii="Times New Roman" w:hAnsi="Times New Roman" w:cs="Times New Roman" w:eastAsiaTheme="minorEastAsia"/>
                <w:color w:val="000000" w:themeColor="text1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color w:val="000000" w:themeColor="text1"/>
                <w:sz w:val="28"/>
                <w:szCs w:val="28"/>
                <w:highlight w:val="none"/>
                <w:lang w:eastAsia="ru-RU"/>
              </w:rPr>
            </w:r>
          </w:p>
        </w:tc>
        <w:tc>
          <w:tcPr>
            <w:tcBorders/>
            <w:tcW w:w="4575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 w:eastAsiaTheme="minorEastAsia"/>
                <w:color w:val="000000" w:themeColor="text1"/>
                <w:sz w:val="28"/>
                <w:szCs w:val="28"/>
                <w:highlight w:val="none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sz w:val="28"/>
                <w:szCs w:val="28"/>
                <w:highlight w:val="none"/>
                <w:lang w:val="en-US"/>
              </w:rPr>
              <w:t xml:space="preserve">2</w:t>
            </w:r>
            <w:r>
              <w:rPr>
                <w:rFonts w:ascii="Times New Roman" w:hAnsi="Times New Roman" w:cs="Times New Roman" w:eastAsiaTheme="minorEastAsia"/>
                <w:color w:val="000000" w:themeColor="text1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color w:val="000000" w:themeColor="text1"/>
                <w:sz w:val="28"/>
                <w:szCs w:val="28"/>
                <w:highlight w:val="none"/>
                <w:lang w:eastAsia="ru-RU"/>
              </w:rPr>
            </w:r>
          </w:p>
        </w:tc>
      </w:tr>
      <w:tr>
        <w:trPr>
          <w:trHeight w:val="627"/>
        </w:trPr>
        <w:tc>
          <w:tcPr>
            <w:gridSpan w:val="2"/>
            <w:tcBorders/>
            <w:tcW w:w="9921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sz w:val="28"/>
                <w:szCs w:val="28"/>
                <w:highlight w:val="none"/>
                <w:lang w:eastAsia="ru-RU"/>
              </w:rPr>
              <w:t xml:space="preserve">Профессиональная квалификационная группа «Общеотраслевые профессии рабочих первого уровня»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</w:tc>
      </w:tr>
      <w:tr>
        <w:trPr>
          <w:trHeight w:val="311"/>
        </w:trPr>
        <w:tc>
          <w:tcPr>
            <w:tcBorders/>
            <w:tcW w:w="5346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sz w:val="28"/>
                <w:szCs w:val="28"/>
                <w:highlight w:val="none"/>
                <w:lang w:eastAsia="ru-RU"/>
              </w:rPr>
              <w:t xml:space="preserve">Первый квалификационный уровень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4575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 w:eastAsiaTheme="minorEastAsia"/>
                <w:color w:val="000000" w:themeColor="text1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undefined" w:hAnsi="undefined" w:eastAsia="undefined" w:cs="undefined" w:eastAsiaTheme="minorEastAsia"/>
                <w:color w:val="000000" w:themeColor="text1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cs="Times New Roman" w:eastAsiaTheme="minorEastAsia"/>
                <w:color w:val="000000" w:themeColor="text1"/>
                <w:sz w:val="28"/>
                <w:szCs w:val="28"/>
                <w:highlight w:val="none"/>
                <w:lang w:val="en-US"/>
              </w:rPr>
              <w:t xml:space="preserve">25 650</w:t>
            </w:r>
            <w:r>
              <w:rPr>
                <w:rFonts w:ascii="Times New Roman" w:hAnsi="Times New Roman" w:cs="Times New Roman" w:eastAsiaTheme="minorEastAsia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cs="Times New Roman" w:eastAsiaTheme="minorEastAsia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</w:p>
        </w:tc>
      </w:tr>
      <w:tr>
        <w:trPr>
          <w:trHeight w:val="311"/>
        </w:trPr>
        <w:tc>
          <w:tcPr>
            <w:tcBorders/>
            <w:tcW w:w="5346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sz w:val="28"/>
                <w:szCs w:val="28"/>
                <w:highlight w:val="none"/>
                <w:lang w:eastAsia="ru-RU"/>
              </w:rPr>
              <w:t xml:space="preserve">Второй квалификационный уровень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4575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 w:eastAsiaTheme="minorEastAsia"/>
                <w:color w:val="000000" w:themeColor="text1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sz w:val="28"/>
                <w:szCs w:val="28"/>
                <w:highlight w:val="none"/>
                <w:lang w:val="en-US"/>
              </w:rPr>
              <w:t xml:space="preserve">25 870</w:t>
            </w:r>
            <w:r>
              <w:rPr>
                <w:rFonts w:ascii="Times New Roman" w:hAnsi="Times New Roman" w:cs="Times New Roman" w:eastAsiaTheme="minorEastAsia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cs="Times New Roman" w:eastAsiaTheme="minorEastAsia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</w:p>
        </w:tc>
      </w:tr>
      <w:tr>
        <w:trPr>
          <w:trHeight w:val="627"/>
        </w:trPr>
        <w:tc>
          <w:tcPr>
            <w:gridSpan w:val="2"/>
            <w:tcBorders/>
            <w:tcW w:w="9921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sz w:val="28"/>
                <w:szCs w:val="28"/>
                <w:highlight w:val="none"/>
                <w:lang w:eastAsia="ru-RU"/>
              </w:rPr>
              <w:t xml:space="preserve">Профессиональная квалификационная группа «Общеотраслевые профессии рабочих второго уровня»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</w:tc>
      </w:tr>
      <w:tr>
        <w:trPr>
          <w:trHeight w:val="311"/>
        </w:trPr>
        <w:tc>
          <w:tcPr>
            <w:tcBorders/>
            <w:tcW w:w="5346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sz w:val="28"/>
                <w:szCs w:val="28"/>
                <w:highlight w:val="none"/>
                <w:lang w:eastAsia="ru-RU"/>
              </w:rPr>
              <w:t xml:space="preserve">Первый квалификационный уровень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4575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  <w:lang w:val="en-US"/>
              </w:rPr>
              <w:t xml:space="preserve">26 030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</w:p>
        </w:tc>
      </w:tr>
      <w:tr>
        <w:trPr>
          <w:trHeight w:val="311"/>
        </w:trPr>
        <w:tc>
          <w:tcPr>
            <w:tcBorders/>
            <w:tcW w:w="5346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sz w:val="28"/>
                <w:szCs w:val="28"/>
                <w:highlight w:val="none"/>
                <w:lang w:eastAsia="ru-RU"/>
              </w:rPr>
              <w:t xml:space="preserve">Второй квалификационный уровень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4575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  <w:lang w:val="en-US"/>
              </w:rPr>
              <w:t xml:space="preserve">26 220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</w:p>
        </w:tc>
      </w:tr>
      <w:tr>
        <w:trPr>
          <w:trHeight w:val="311"/>
        </w:trPr>
        <w:tc>
          <w:tcPr>
            <w:tcBorders/>
            <w:tcW w:w="5346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sz w:val="28"/>
                <w:szCs w:val="28"/>
                <w:highlight w:val="none"/>
                <w:lang w:eastAsia="ru-RU"/>
              </w:rPr>
              <w:t xml:space="preserve">Третий квалификационный уровень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4575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  <w:lang w:val="en-US"/>
              </w:rPr>
              <w:t xml:space="preserve">26 420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</w:p>
        </w:tc>
      </w:tr>
      <w:tr>
        <w:trPr>
          <w:trHeight w:val="311"/>
        </w:trPr>
        <w:tc>
          <w:tcPr>
            <w:tcBorders/>
            <w:tcW w:w="5346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sz w:val="28"/>
                <w:szCs w:val="28"/>
                <w:highlight w:val="none"/>
                <w:lang w:eastAsia="ru-RU"/>
              </w:rPr>
              <w:t xml:space="preserve">Четвертый квалификационный уровень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4575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  <w:lang w:val="en-US"/>
              </w:rPr>
              <w:t xml:space="preserve">27 010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</w:p>
        </w:tc>
      </w:tr>
    </w:tbl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Bdr/>
        <w:spacing w:after="0" w:line="312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2.2. Базовые оклады работников профессиональных квалификационных групп общеотраслевых должностей руководителей, специалистов и служащих государственного учреждения службы занятости населения Республики Татарстан устанавливаются в следующих размерах: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tbl>
      <w:tblPr>
        <w:tblW w:w="0" w:type="auto"/>
        <w:tblCellMar>
          <w:left w:w="62" w:type="dxa"/>
          <w:top w:w="102" w:type="dxa"/>
          <w:right w:w="62" w:type="dxa"/>
          <w:bottom w:w="102" w:type="dxa"/>
        </w:tblCellMar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4819"/>
        <w:gridCol w:w="5102"/>
      </w:tblGrid>
      <w:tr>
        <w:trPr>
          <w:trHeight w:val="245"/>
        </w:trPr>
        <w:tc>
          <w:tcPr>
            <w:tcBorders>
              <w:bottom w:val="none" w:color="000000" w:sz="4" w:space="0"/>
            </w:tcBorders>
            <w:tcW w:w="4819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sz w:val="28"/>
                <w:szCs w:val="28"/>
                <w:highlight w:val="none"/>
                <w:lang w:eastAsia="ru-RU"/>
              </w:rPr>
              <w:t xml:space="preserve">Квалификационный уровень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</w:tc>
        <w:tc>
          <w:tcPr>
            <w:tcBorders>
              <w:bottom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sz w:val="28"/>
                <w:szCs w:val="28"/>
                <w:highlight w:val="none"/>
                <w:lang w:eastAsia="ru-RU"/>
              </w:rPr>
              <w:t xml:space="preserve">Размер базового оклада в месяц, рублей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</w:tc>
      </w:tr>
    </w:tbl>
    <w:tbl>
      <w:tblPr>
        <w:tblW w:w="0" w:type="auto"/>
        <w:tblCellMar>
          <w:left w:w="62" w:type="dxa"/>
          <w:top w:w="102" w:type="dxa"/>
          <w:right w:w="62" w:type="dxa"/>
          <w:bottom w:w="102" w:type="dxa"/>
        </w:tblCellMar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4819"/>
        <w:gridCol w:w="5102"/>
      </w:tblGrid>
      <w:tr>
        <w:trPr>
          <w:trHeight w:val="245"/>
          <w:tblHeader/>
        </w:trPr>
        <w:tc>
          <w:tcPr>
            <w:tcBorders/>
            <w:tcW w:w="4819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sz w:val="28"/>
                <w:szCs w:val="28"/>
                <w:highlight w:val="none"/>
                <w:lang w:val="en-US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5102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sz w:val="28"/>
                <w:szCs w:val="28"/>
                <w:highlight w:val="none"/>
                <w:lang w:val="en-US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</w:tc>
      </w:tr>
      <w:tr>
        <w:trPr>
          <w:trHeight w:val="245"/>
        </w:trPr>
        <w:tc>
          <w:tcPr>
            <w:gridSpan w:val="2"/>
            <w:tcBorders/>
            <w:tcW w:w="9921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sz w:val="28"/>
                <w:szCs w:val="28"/>
                <w:highlight w:val="none"/>
                <w:lang w:eastAsia="ru-RU"/>
              </w:rPr>
              <w:t xml:space="preserve">Профессиональная квалификационная группа «Общеотраслевые должности служащих первого уровня»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</w:tc>
      </w:tr>
      <w:tr>
        <w:trPr>
          <w:trHeight w:val="245"/>
        </w:trPr>
        <w:tc>
          <w:tcPr>
            <w:tcBorders/>
            <w:tcW w:w="4819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sz w:val="28"/>
                <w:szCs w:val="28"/>
                <w:highlight w:val="none"/>
                <w:lang w:eastAsia="ru-RU"/>
              </w:rPr>
              <w:t xml:space="preserve">Первый квалификационный уровень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5102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  <w:lang w:val="en-US"/>
              </w:rPr>
              <w:t xml:space="preserve">25 650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</w:p>
        </w:tc>
      </w:tr>
      <w:tr>
        <w:trPr>
          <w:trHeight w:val="255"/>
        </w:trPr>
        <w:tc>
          <w:tcPr>
            <w:tcBorders/>
            <w:tcW w:w="4819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sz w:val="28"/>
                <w:szCs w:val="28"/>
                <w:highlight w:val="none"/>
                <w:lang w:eastAsia="ru-RU"/>
              </w:rPr>
              <w:t xml:space="preserve">Второй квалификационный уровень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5102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  <w:lang w:val="en-US"/>
              </w:rPr>
              <w:t xml:space="preserve">25 870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</w:p>
        </w:tc>
      </w:tr>
      <w:tr>
        <w:trPr>
          <w:trHeight w:val="255"/>
        </w:trPr>
        <w:tc>
          <w:tcPr>
            <w:gridSpan w:val="2"/>
            <w:tcBorders/>
            <w:tcW w:w="9921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 w:eastAsiaTheme="minorEastAsia"/>
                <w:color w:val="000000" w:themeColor="text1"/>
                <w:sz w:val="28"/>
                <w:szCs w:val="28"/>
                <w:highlight w:val="none"/>
                <w:lang w:eastAsia="ru-RU"/>
              </w:rPr>
              <w:t xml:space="preserve">Профессиональная квалификационная группа «Общеотраслевые должности служащих второго уровня»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</w:tc>
      </w:tr>
      <w:tr>
        <w:trPr>
          <w:trHeight w:val="255"/>
        </w:trPr>
        <w:tc>
          <w:tcPr>
            <w:tcBorders/>
            <w:tcW w:w="4819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sz w:val="28"/>
                <w:szCs w:val="28"/>
                <w:highlight w:val="none"/>
                <w:lang w:eastAsia="ru-RU"/>
              </w:rPr>
              <w:t xml:space="preserve">Первый квалификационный уровень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5102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  <w:lang w:val="en-US"/>
              </w:rPr>
              <w:t xml:space="preserve">26 030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</w:p>
        </w:tc>
      </w:tr>
      <w:tr>
        <w:trPr>
          <w:trHeight w:val="255"/>
        </w:trPr>
        <w:tc>
          <w:tcPr>
            <w:tcBorders/>
            <w:tcW w:w="4819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sz w:val="28"/>
                <w:szCs w:val="28"/>
                <w:highlight w:val="none"/>
                <w:lang w:eastAsia="ru-RU"/>
              </w:rPr>
              <w:t xml:space="preserve">Второй квалификационный уровень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5102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  <w:lang w:val="en-US"/>
              </w:rPr>
              <w:t xml:space="preserve">26 220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</w:p>
        </w:tc>
      </w:tr>
      <w:tr>
        <w:trPr>
          <w:trHeight w:val="255"/>
        </w:trPr>
        <w:tc>
          <w:tcPr>
            <w:tcBorders/>
            <w:tcW w:w="4819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sz w:val="28"/>
                <w:szCs w:val="28"/>
                <w:highlight w:val="none"/>
                <w:lang w:eastAsia="ru-RU"/>
              </w:rPr>
              <w:t xml:space="preserve">Третий квалификационный уровень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5102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  <w:lang w:val="en-US"/>
              </w:rPr>
              <w:t xml:space="preserve">26 420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</w:p>
        </w:tc>
      </w:tr>
      <w:tr>
        <w:trPr>
          <w:trHeight w:val="255"/>
        </w:trPr>
        <w:tc>
          <w:tcPr>
            <w:tcBorders/>
            <w:tcW w:w="4819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sz w:val="28"/>
                <w:szCs w:val="28"/>
                <w:highlight w:val="none"/>
                <w:lang w:eastAsia="ru-RU"/>
              </w:rPr>
              <w:t xml:space="preserve">Четвертый квалификационный уровень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5102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  <w:lang w:val="en-US"/>
              </w:rPr>
              <w:t xml:space="preserve">26 660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</w:p>
        </w:tc>
      </w:tr>
      <w:tr>
        <w:trPr>
          <w:trHeight w:val="255"/>
        </w:trPr>
        <w:tc>
          <w:tcPr>
            <w:tcBorders/>
            <w:tcW w:w="4819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sz w:val="28"/>
                <w:szCs w:val="28"/>
                <w:highlight w:val="none"/>
                <w:lang w:eastAsia="ru-RU"/>
              </w:rPr>
              <w:t xml:space="preserve">Пятый квалификационный уровень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5102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  <w:lang w:val="en-US"/>
              </w:rPr>
              <w:t xml:space="preserve">26 870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</w:p>
        </w:tc>
      </w:tr>
      <w:tr>
        <w:trPr>
          <w:trHeight w:val="255"/>
        </w:trPr>
        <w:tc>
          <w:tcPr>
            <w:gridSpan w:val="2"/>
            <w:tcBorders/>
            <w:tcW w:w="9921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 w:eastAsiaTheme="minorEastAsia"/>
                <w:color w:val="000000" w:themeColor="text1"/>
                <w:sz w:val="28"/>
                <w:szCs w:val="28"/>
                <w:highlight w:val="none"/>
                <w:lang w:eastAsia="ru-RU"/>
              </w:rPr>
              <w:t xml:space="preserve">Профессиональная квалификационная группа «Общеотраслевые должности служащих третьего уровня»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</w:tc>
      </w:tr>
      <w:tr>
        <w:trPr>
          <w:trHeight w:val="255"/>
        </w:trPr>
        <w:tc>
          <w:tcPr>
            <w:tcBorders/>
            <w:tcW w:w="4819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sz w:val="28"/>
                <w:szCs w:val="28"/>
                <w:highlight w:val="none"/>
                <w:lang w:eastAsia="ru-RU"/>
              </w:rPr>
              <w:t xml:space="preserve">Первый квалификационный уровень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5102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  <w:lang w:val="en-US"/>
              </w:rPr>
              <w:t xml:space="preserve">27 080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</w:p>
        </w:tc>
      </w:tr>
      <w:tr>
        <w:trPr>
          <w:trHeight w:val="255"/>
        </w:trPr>
        <w:tc>
          <w:tcPr>
            <w:tcBorders/>
            <w:tcW w:w="4819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sz w:val="28"/>
                <w:szCs w:val="28"/>
                <w:highlight w:val="none"/>
                <w:lang w:eastAsia="ru-RU"/>
              </w:rPr>
              <w:t xml:space="preserve">Второй квалификационный уровень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5102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  <w:lang w:val="en-US"/>
              </w:rPr>
              <w:t xml:space="preserve">27 300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</w:p>
        </w:tc>
      </w:tr>
      <w:tr>
        <w:trPr>
          <w:trHeight w:val="255"/>
        </w:trPr>
        <w:tc>
          <w:tcPr>
            <w:tcBorders/>
            <w:tcW w:w="4819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sz w:val="28"/>
                <w:szCs w:val="28"/>
                <w:highlight w:val="none"/>
                <w:lang w:eastAsia="ru-RU"/>
              </w:rPr>
              <w:t xml:space="preserve">Третий квалификационный уровень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5102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  <w:lang w:val="en-US"/>
              </w:rPr>
              <w:t xml:space="preserve">27 560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</w:p>
        </w:tc>
      </w:tr>
      <w:tr>
        <w:trPr>
          <w:trHeight w:val="255"/>
        </w:trPr>
        <w:tc>
          <w:tcPr>
            <w:tcBorders/>
            <w:tcW w:w="4819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sz w:val="28"/>
                <w:szCs w:val="28"/>
                <w:highlight w:val="none"/>
                <w:lang w:eastAsia="ru-RU"/>
              </w:rPr>
              <w:t xml:space="preserve">Четвертый квалификационный уровень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5102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  <w:lang w:val="en-US"/>
              </w:rPr>
              <w:t xml:space="preserve">27 780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</w:p>
        </w:tc>
      </w:tr>
      <w:tr>
        <w:trPr>
          <w:trHeight w:val="255"/>
        </w:trPr>
        <w:tc>
          <w:tcPr>
            <w:tcBorders/>
            <w:tcW w:w="4819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sz w:val="28"/>
                <w:szCs w:val="28"/>
                <w:highlight w:val="none"/>
                <w:lang w:eastAsia="ru-RU"/>
              </w:rPr>
              <w:t xml:space="preserve">Пятый квалификационный уровень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5102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  <w:lang w:val="en-US"/>
              </w:rPr>
              <w:t xml:space="preserve">28 000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</w:p>
        </w:tc>
      </w:tr>
      <w:tr>
        <w:trPr>
          <w:trHeight w:val="255"/>
        </w:trPr>
        <w:tc>
          <w:tcPr>
            <w:gridSpan w:val="2"/>
            <w:tcBorders/>
            <w:tcW w:w="9921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 w:eastAsiaTheme="minorEastAsia"/>
                <w:color w:val="000000" w:themeColor="text1"/>
                <w:sz w:val="28"/>
                <w:szCs w:val="28"/>
                <w:highlight w:val="none"/>
                <w:lang w:eastAsia="ru-RU"/>
              </w:rPr>
              <w:t xml:space="preserve">Профессиональная квалификационная группа «Общеотраслевые должности служащих четвертого уровня»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</w:tc>
      </w:tr>
      <w:tr>
        <w:trPr>
          <w:trHeight w:val="255"/>
        </w:trPr>
        <w:tc>
          <w:tcPr>
            <w:tcBorders/>
            <w:tcW w:w="4819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sz w:val="28"/>
                <w:szCs w:val="28"/>
                <w:highlight w:val="none"/>
                <w:lang w:eastAsia="ru-RU"/>
              </w:rPr>
              <w:t xml:space="preserve">Первый квалификационный уровень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5102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  <w:lang w:val="en-US"/>
              </w:rPr>
              <w:t xml:space="preserve">29 040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</w:p>
        </w:tc>
      </w:tr>
      <w:tr>
        <w:trPr>
          <w:trHeight w:val="255"/>
        </w:trPr>
        <w:tc>
          <w:tcPr>
            <w:tcBorders/>
            <w:tcW w:w="4819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sz w:val="28"/>
                <w:szCs w:val="28"/>
                <w:highlight w:val="none"/>
                <w:lang w:eastAsia="ru-RU"/>
              </w:rPr>
              <w:t xml:space="preserve">Второй квалификационный уровень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5102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  <w:lang w:val="en-US"/>
              </w:rPr>
              <w:t xml:space="preserve">29 260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</w:p>
        </w:tc>
      </w:tr>
      <w:tr>
        <w:trPr>
          <w:trHeight w:val="255"/>
        </w:trPr>
        <w:tc>
          <w:tcPr>
            <w:tcBorders/>
            <w:tcW w:w="4819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sz w:val="28"/>
                <w:szCs w:val="28"/>
                <w:highlight w:val="none"/>
                <w:lang w:eastAsia="ru-RU"/>
              </w:rPr>
              <w:t xml:space="preserve">Третий квалификационный уровень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5102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  <w:lang w:val="en-US"/>
              </w:rPr>
              <w:t xml:space="preserve">29 480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</w:p>
        </w:tc>
      </w:tr>
    </w:tbl>
    <w:p>
      <w:pPr>
        <w:widowControl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firstLine="709"/>
        <w:rPr>
          <w:rFonts w:ascii="Times New Roman" w:hAnsi="Times New Roman" w:cs="Times New Roman" w:eastAsiaTheme="minorEastAsia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 w:eastAsiaTheme="minorEastAsia"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 w:eastAsiaTheme="minorEastAsia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 w:eastAsiaTheme="minorEastAsia"/>
          <w:color w:val="000000" w:themeColor="text1"/>
          <w:sz w:val="28"/>
          <w:szCs w:val="28"/>
          <w:highlight w:val="none"/>
        </w:rPr>
      </w:r>
    </w:p>
    <w:p>
      <w:pPr>
        <w:widowControl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312" w:lineRule="auto"/>
        <w:ind w:firstLine="709"/>
        <w:jc w:val="both"/>
        <w:rPr>
          <w:rFonts w:ascii="Times New Roman" w:hAnsi="Times New Roman" w:cs="Times New Roman" w:eastAsiaTheme="minorEastAsia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 w:eastAsiaTheme="minorEastAsia"/>
          <w:color w:val="000000" w:themeColor="text1"/>
          <w:sz w:val="28"/>
          <w:szCs w:val="28"/>
          <w:highlight w:val="none"/>
          <w:lang w:eastAsia="ru-RU"/>
        </w:rPr>
        <w:t xml:space="preserve">2.3. Соответствие должности и профессии работника квалификационным уровням профе</w:t>
      </w:r>
      <w:r>
        <w:rPr>
          <w:rFonts w:ascii="Times New Roman" w:hAnsi="Times New Roman" w:cs="Times New Roman" w:eastAsiaTheme="minorEastAsia"/>
          <w:color w:val="000000" w:themeColor="text1"/>
          <w:sz w:val="28"/>
          <w:szCs w:val="28"/>
          <w:highlight w:val="none"/>
          <w:lang w:eastAsia="ru-RU"/>
        </w:rPr>
        <w:t xml:space="preserve">ссиональных квалификационных групп общеотраслевых профессий рабочих и общеотраслевых должностей руководителей, специалистов и служащих </w:t>
      </w:r>
      <w:r>
        <w:rPr>
          <w:rFonts w:ascii="Times New Roman" w:hAnsi="Times New Roman" w:cs="Times New Roman" w:eastAsiaTheme="minorEastAsia"/>
          <w:color w:val="000000" w:themeColor="text1"/>
          <w:sz w:val="28"/>
          <w:szCs w:val="28"/>
          <w:highlight w:val="none"/>
        </w:rPr>
        <w:t xml:space="preserve">устанавливается</w:t>
      </w:r>
      <w:r>
        <w:rPr>
          <w:rFonts w:ascii="Times New Roman" w:hAnsi="Times New Roman" w:cs="Times New Roman" w:eastAsiaTheme="minorEastAsia"/>
          <w:color w:val="000000" w:themeColor="text1"/>
          <w:sz w:val="28"/>
          <w:szCs w:val="28"/>
          <w:highlight w:val="none"/>
          <w:lang w:eastAsia="ru-RU"/>
        </w:rPr>
        <w:t xml:space="preserve"> согласно нормативным правовым актам Министерства здравоохранения и социального развития Российской Федерации.</w:t>
      </w:r>
      <w:r>
        <w:rPr>
          <w:rFonts w:ascii="Times New Roman" w:hAnsi="Times New Roman" w:cs="Times New Roman" w:eastAsiaTheme="minorEastAsia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 w:eastAsiaTheme="minorEastAsia"/>
          <w:color w:val="000000" w:themeColor="text1"/>
          <w:sz w:val="28"/>
          <w:szCs w:val="28"/>
          <w:highlight w:val="none"/>
        </w:rPr>
      </w:r>
    </w:p>
    <w:p>
      <w:pPr>
        <w:widowControl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312" w:lineRule="auto"/>
        <w:ind w:firstLine="709"/>
        <w:jc w:val="both"/>
        <w:rPr>
          <w:rFonts w:ascii="Times New Roman" w:hAnsi="Times New Roman" w:cs="Times New Roman" w:eastAsiaTheme="minorEastAsia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 w:eastAsiaTheme="minorEastAsia"/>
          <w:color w:val="000000" w:themeColor="text1"/>
          <w:sz w:val="28"/>
          <w:szCs w:val="28"/>
          <w:highlight w:val="none"/>
          <w:lang w:eastAsia="ru-RU"/>
        </w:rPr>
        <w:t xml:space="preserve">2.4. Оплата труда работников, занятых по совместительству, а также на условиях неполного рабочего времени, производитс</w:t>
      </w:r>
      <w:r>
        <w:rPr>
          <w:rFonts w:ascii="Times New Roman" w:hAnsi="Times New Roman" w:cs="Times New Roman" w:eastAsiaTheme="minorEastAsia"/>
          <w:color w:val="000000" w:themeColor="text1"/>
          <w:sz w:val="28"/>
          <w:szCs w:val="28"/>
          <w:highlight w:val="none"/>
          <w:lang w:eastAsia="ru-RU"/>
        </w:rPr>
        <w:t xml:space="preserve">я пропорционально отработанному времени либо в зависимости от выполненного объема работ. Определение размеров заработной платы по основной должности, а также по должности, занимаемой в порядке совместительства, производится раздельно по каждой должности.»</w:t>
      </w:r>
      <w:r>
        <w:rPr>
          <w:rFonts w:ascii="Times New Roman" w:hAnsi="Times New Roman" w:cs="Times New Roman" w:eastAsiaTheme="minorEastAsia"/>
          <w:color w:val="000000" w:themeColor="text1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 w:eastAsiaTheme="minorEastAsia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 w:eastAsiaTheme="minorEastAsia"/>
          <w:color w:val="000000" w:themeColor="text1"/>
          <w:sz w:val="28"/>
          <w:szCs w:val="28"/>
          <w:highlight w:val="none"/>
        </w:rPr>
      </w:r>
    </w:p>
    <w:p>
      <w:pPr>
        <w:widowControl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312" w:lineRule="auto"/>
        <w:ind w:firstLine="709"/>
        <w:jc w:val="both"/>
        <w:rPr>
          <w:rFonts w:ascii="Times New Roman" w:hAnsi="Times New Roman" w:cs="Times New Roman" w:eastAsiaTheme="minorEastAsia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2. Установить, что настоящее постановление вступает в силу с 1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января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2026 года.</w:t>
      </w:r>
      <w:r>
        <w:rPr>
          <w:rFonts w:ascii="Times New Roman" w:hAnsi="Times New Roman" w:cs="Times New Roman" w:eastAsiaTheme="minorEastAsia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 w:eastAsiaTheme="minorEastAsia"/>
          <w:color w:val="000000" w:themeColor="text1"/>
          <w:sz w:val="28"/>
          <w:szCs w:val="28"/>
          <w:highlight w:val="none"/>
        </w:rPr>
      </w:r>
    </w:p>
    <w:p>
      <w:pPr>
        <w:pBdr/>
        <w:spacing w:after="0" w:line="288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Bdr/>
        <w:spacing w:after="0" w:line="288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Bdr/>
        <w:spacing w:after="0" w:line="288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Bdr/>
        <w:spacing w:after="0" w:line="288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widowControl w:val="false"/>
        <w:pBdr/>
        <w:spacing w:after="0" w:line="288" w:lineRule="auto"/>
        <w:ind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Премьер-министр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widowControl w:val="false"/>
        <w:pBdr/>
        <w:spacing w:after="0" w:line="288" w:lineRule="auto"/>
        <w:ind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Республики Татарстан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ab/>
        <w:tab/>
        <w:tab/>
        <w:tab/>
        <w:tab/>
        <w:tab/>
        <w:tab/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А.В.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 Песошин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widowControl w:val="false"/>
        <w:pBdr/>
        <w:spacing w:after="0" w:line="240" w:lineRule="auto"/>
        <w:ind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widowControl w:val="false"/>
        <w:pBdr/>
        <w:spacing w:after="0" w:line="240" w:lineRule="auto"/>
        <w:ind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sectPr>
          <w:headerReference w:type="default" r:id="rId8"/>
          <w:footnotePr/>
          <w:endnotePr/>
          <w:type w:val="nextPage"/>
          <w:pgSz w:h="16838" w:orient="portrait" w:w="11906"/>
          <w:pgMar w:top="1134" w:right="850" w:bottom="1134" w:left="1134" w:header="709" w:footer="709" w:gutter="0"/>
          <w:pgNumType w:start="1"/>
          <w:cols w:num="1" w:sep="0" w:space="708" w:equalWidth="1"/>
          <w:titlePg/>
        </w:sect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ПОЯСНИТЕЛЬНАЯ ЗАПИСКА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Calibri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к проекту постановления Кабинета Министров Республики Татарстан </w:t>
      </w:r>
      <w:r>
        <w:rPr>
          <w:rFonts w:ascii="Times New Roman" w:hAnsi="Times New Roman" w:cs="Times New Roman"/>
          <w:sz w:val="28"/>
          <w:szCs w:val="28"/>
          <w:highlight w:val="none"/>
        </w:rPr>
        <w:br/>
      </w:r>
      <w:r>
        <w:rPr>
          <w:rFonts w:ascii="Times New Roman" w:hAnsi="Times New Roman" w:eastAsia="Calibri" w:cs="Times New Roman"/>
          <w:bCs/>
          <w:sz w:val="28"/>
          <w:szCs w:val="28"/>
          <w:highlight w:val="none"/>
        </w:rPr>
        <w:t xml:space="preserve">«О внесении изменений в постановление Кабинета Министров Республики Татарстан от 16.02.2021 № 84 «Об условиях оплаты труда работников государственного учреждения службы занятости населения </w:t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</w:r>
    </w:p>
    <w:p>
      <w:pPr>
        <w:pBdr/>
        <w:spacing w:after="0" w:line="240" w:lineRule="auto"/>
        <w:ind/>
        <w:jc w:val="center"/>
        <w:rPr>
          <w:highlight w:val="none"/>
        </w:rPr>
      </w:pPr>
      <w:r>
        <w:rPr>
          <w:rFonts w:ascii="Times New Roman" w:hAnsi="Times New Roman" w:eastAsia="Calibri" w:cs="Times New Roman"/>
          <w:bCs/>
          <w:sz w:val="28"/>
          <w:szCs w:val="28"/>
          <w:highlight w:val="none"/>
        </w:rPr>
        <w:t xml:space="preserve">Республики Татарстан»</w:t>
      </w:r>
      <w:r>
        <w:rPr>
          <w:highlight w:val="none"/>
        </w:rPr>
      </w:r>
      <w:r>
        <w:rPr>
          <w:highlight w:val="none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Bdr/>
        <w:spacing w:after="0" w:line="288" w:lineRule="auto"/>
        <w:ind w:firstLine="567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Проект постановления «</w:t>
      </w:r>
      <w:r>
        <w:rPr>
          <w:rFonts w:ascii="Times New Roman" w:hAnsi="Times New Roman" w:eastAsia="Calibri" w:cs="Times New Roman"/>
          <w:bCs/>
          <w:sz w:val="28"/>
          <w:szCs w:val="28"/>
          <w:highlight w:val="none"/>
        </w:rPr>
        <w:t xml:space="preserve">О внесении изменений в постановление Кабинета Министров Республики Татарстан от 16.02.2021 № 84 «Об условиях оплаты труда работников государственного учреждения</w:t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  <w:t xml:space="preserve"> службы занятости населения Республики Татарстан» </w:t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  <w:t xml:space="preserve">разработан во исполнение </w:t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  <w:t xml:space="preserve">поручения</w:t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  <w:t xml:space="preserve"> Раиса Республики Татарста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  <w:t xml:space="preserve">н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№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  <w:lang w:val="en-US"/>
        </w:rPr>
        <w:t xml:space="preserve">35612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-МР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от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2</w:t>
      </w:r>
      <w:r>
        <w:rPr>
          <w:rFonts w:ascii="Times New Roman" w:hAnsi="Times New Roman" w:cs="Times New Roman"/>
          <w:sz w:val="28"/>
          <w:szCs w:val="28"/>
          <w:highlight w:val="white"/>
          <w:lang w:val="en-US"/>
        </w:rPr>
        <w:t xml:space="preserve">1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.0</w:t>
      </w:r>
      <w:r>
        <w:rPr>
          <w:rFonts w:ascii="Times New Roman" w:hAnsi="Times New Roman" w:cs="Times New Roman"/>
          <w:sz w:val="28"/>
          <w:szCs w:val="28"/>
          <w:highlight w:val="white"/>
          <w:lang w:val="en-US"/>
        </w:rPr>
        <w:t xml:space="preserve">7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.202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5</w:t>
      </w:r>
      <w:r>
        <w:rPr>
          <w:rFonts w:ascii="Times New Roman" w:hAnsi="Times New Roman" w:eastAsia="Calibri" w:cs="Times New Roman"/>
          <w:sz w:val="28"/>
          <w:szCs w:val="28"/>
          <w:highlight w:val="white"/>
          <w:lang w:val="en-US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  <w:t xml:space="preserve">о повышении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заработной платы работников государственных и муниципальных учреждений бюджетной сферы.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88" w:lineRule="auto"/>
        <w:ind w:firstLine="567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Проектом постановления вносятся изменения: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88" w:lineRule="auto"/>
        <w:ind w:firstLine="567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Положение об условиях оплаты труда работников государственного учреждения службы занятости населения Республики Татарстан, в части у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вели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ч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ени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я базовых окладов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работников государственного учреждения службы занятости населения Республики Татарстан, и у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величе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ния размера базового оклада руководителя государственного учреждения службы занятости населения Республики Татарстан;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88" w:lineRule="auto"/>
        <w:ind w:firstLine="567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в Положение об условиях оплаты труда работников профессиональных квалификационных групп общ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еотраслевых профессий рабочих и общеотраслевых должностей руководителей, специалистов и служащих государственного учреждения службы занятости населения Республики Татарстан, в части у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величени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я базовых окладов работников профессиональных квалификационных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групп общеотраслевых профессий рабочих и общеотраслевых должностей руководителей, специалистов и служащих государственного учреждения службы занятости населения Республики Татарстан.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88" w:lineRule="auto"/>
        <w:ind w:firstLine="567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Данные изменения не приведут к ухудшению условий оплаты труда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работников государственного учреждения службы занятости населения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Республики Татарстан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88" w:lineRule="auto"/>
        <w:ind w:firstLine="567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Выделение </w:t>
      </w:r>
      <w:bookmarkStart w:id="4" w:name="_Hlk172193018"/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bookmarkStart w:id="5" w:name="_Hlk172535306"/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редств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из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бюджет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Республики Татарстан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на указанные цели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согласован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Раисом Республики Татарстан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Минниханов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ым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Р.Н. </w:t>
      </w:r>
      <w:bookmarkEnd w:id="4"/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bookmarkEnd w:id="5"/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88" w:lineRule="auto"/>
        <w:ind w:firstLine="567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Отсутствует необходимость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 в проведении оценки регулирующего воздействия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 проекта постановления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Кабинета Министров Республики Татарстан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88" w:lineRule="auto"/>
        <w:ind w:firstLine="567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По итогам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независимой антикоррупционной экспертизы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 проекта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постановления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Кабинета Министров Республики Татарстан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 заключений не поступало.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14:ligatures w14:val="none"/>
        </w:rPr>
      </w:r>
      <w:r/>
    </w:p>
    <w:sectPr>
      <w:footnotePr/>
      <w:endnotePr/>
      <w:type w:val="nextPage"/>
      <w:pgSz w:h="16838" w:orient="portrait" w:w="11906"/>
      <w:pgMar w:top="1134" w:right="850" w:bottom="1134" w:left="1134" w:header="708" w:footer="708" w:gutter="0"/>
      <w:pgNumType w:start="1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undefined">
    <w:panose1 w:val="05040102010807070707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2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4</w:t>
    </w:r>
    <w:r>
      <w:fldChar w:fldCharType="end"/>
    </w:r>
    <w:r/>
  </w:p>
  <w:p>
    <w:pPr>
      <w:pStyle w:val="902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9">
    <w:name w:val="Placeholder Text"/>
    <w:basedOn w:val="747"/>
    <w:uiPriority w:val="99"/>
    <w:semiHidden/>
    <w:pPr>
      <w:pBdr/>
      <w:spacing/>
      <w:ind/>
    </w:pPr>
    <w:rPr>
      <w:color w:val="666666"/>
    </w:rPr>
  </w:style>
  <w:style w:type="character" w:styleId="720">
    <w:name w:val="Heading 1 Char"/>
    <w:basedOn w:val="747"/>
    <w:link w:val="7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721">
    <w:name w:val="Heading 2 Char"/>
    <w:basedOn w:val="747"/>
    <w:link w:val="7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722">
    <w:name w:val="Heading 3 Char"/>
    <w:basedOn w:val="747"/>
    <w:link w:val="7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723">
    <w:name w:val="Heading 4 Char"/>
    <w:basedOn w:val="747"/>
    <w:link w:val="7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724">
    <w:name w:val="Heading 5 Char"/>
    <w:basedOn w:val="747"/>
    <w:link w:val="7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725">
    <w:name w:val="Heading 6 Char"/>
    <w:basedOn w:val="747"/>
    <w:link w:val="7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26">
    <w:name w:val="Heading 7 Char"/>
    <w:basedOn w:val="747"/>
    <w:link w:val="7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27">
    <w:name w:val="Heading 8 Char"/>
    <w:basedOn w:val="747"/>
    <w:link w:val="7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28">
    <w:name w:val="Heading 9 Char"/>
    <w:basedOn w:val="747"/>
    <w:link w:val="7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29">
    <w:name w:val="Title Char"/>
    <w:basedOn w:val="747"/>
    <w:link w:val="88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30">
    <w:name w:val="Subtitle Char"/>
    <w:basedOn w:val="747"/>
    <w:link w:val="88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31">
    <w:name w:val="Quote Char"/>
    <w:basedOn w:val="747"/>
    <w:link w:val="889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32">
    <w:name w:val="Intense Quote Char"/>
    <w:basedOn w:val="747"/>
    <w:link w:val="89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733">
    <w:name w:val="Header Char"/>
    <w:basedOn w:val="747"/>
    <w:link w:val="902"/>
    <w:uiPriority w:val="99"/>
    <w:pPr>
      <w:pBdr/>
      <w:spacing/>
      <w:ind/>
    </w:pPr>
  </w:style>
  <w:style w:type="character" w:styleId="734">
    <w:name w:val="Footer Char"/>
    <w:basedOn w:val="747"/>
    <w:link w:val="904"/>
    <w:uiPriority w:val="99"/>
    <w:pPr>
      <w:pBdr/>
      <w:spacing/>
      <w:ind/>
    </w:pPr>
  </w:style>
  <w:style w:type="character" w:styleId="735">
    <w:name w:val="Footnote Text Char"/>
    <w:basedOn w:val="747"/>
    <w:link w:val="907"/>
    <w:uiPriority w:val="99"/>
    <w:semiHidden/>
    <w:pPr>
      <w:pBdr/>
      <w:spacing/>
      <w:ind/>
    </w:pPr>
    <w:rPr>
      <w:sz w:val="20"/>
      <w:szCs w:val="20"/>
    </w:rPr>
  </w:style>
  <w:style w:type="character" w:styleId="736">
    <w:name w:val="Endnote Text Char"/>
    <w:basedOn w:val="747"/>
    <w:link w:val="910"/>
    <w:uiPriority w:val="99"/>
    <w:semiHidden/>
    <w:pPr>
      <w:pBdr/>
      <w:spacing/>
      <w:ind/>
    </w:pPr>
    <w:rPr>
      <w:sz w:val="20"/>
      <w:szCs w:val="20"/>
    </w:rPr>
  </w:style>
  <w:style w:type="paragraph" w:styleId="737" w:default="1">
    <w:name w:val="Normal"/>
    <w:qFormat/>
    <w:pPr>
      <w:pBdr/>
      <w:spacing w:after="200" w:line="276" w:lineRule="auto"/>
      <w:ind/>
    </w:pPr>
  </w:style>
  <w:style w:type="paragraph" w:styleId="738">
    <w:name w:val="Heading 1"/>
    <w:basedOn w:val="737"/>
    <w:next w:val="737"/>
    <w:link w:val="876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paragraph" w:styleId="739">
    <w:name w:val="Heading 2"/>
    <w:basedOn w:val="737"/>
    <w:next w:val="737"/>
    <w:link w:val="877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paragraph" w:styleId="740">
    <w:name w:val="Heading 3"/>
    <w:basedOn w:val="737"/>
    <w:next w:val="737"/>
    <w:link w:val="87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paragraph" w:styleId="741">
    <w:name w:val="Heading 4"/>
    <w:basedOn w:val="737"/>
    <w:next w:val="737"/>
    <w:link w:val="87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2e74b5" w:themeColor="accent1" w:themeShade="BF"/>
    </w:rPr>
  </w:style>
  <w:style w:type="paragraph" w:styleId="742">
    <w:name w:val="Heading 5"/>
    <w:basedOn w:val="737"/>
    <w:next w:val="737"/>
    <w:link w:val="88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2e74b5" w:themeColor="accent1" w:themeShade="BF"/>
    </w:rPr>
  </w:style>
  <w:style w:type="paragraph" w:styleId="743">
    <w:name w:val="Heading 6"/>
    <w:basedOn w:val="737"/>
    <w:next w:val="737"/>
    <w:link w:val="88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44">
    <w:name w:val="Heading 7"/>
    <w:basedOn w:val="737"/>
    <w:next w:val="737"/>
    <w:link w:val="88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45">
    <w:name w:val="Heading 8"/>
    <w:basedOn w:val="737"/>
    <w:next w:val="737"/>
    <w:link w:val="88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46">
    <w:name w:val="Heading 9"/>
    <w:basedOn w:val="737"/>
    <w:next w:val="737"/>
    <w:link w:val="88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47" w:default="1">
    <w:name w:val="Default Paragraph Font"/>
    <w:uiPriority w:val="1"/>
    <w:semiHidden/>
    <w:unhideWhenUsed/>
    <w:pPr>
      <w:pBdr/>
      <w:spacing/>
      <w:ind/>
    </w:pPr>
  </w:style>
  <w:style w:type="table" w:styleId="748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49" w:default="1">
    <w:name w:val="No List"/>
    <w:uiPriority w:val="99"/>
    <w:semiHidden/>
    <w:unhideWhenUsed/>
    <w:pPr>
      <w:pBdr/>
      <w:spacing/>
      <w:ind/>
    </w:pPr>
  </w:style>
  <w:style w:type="table" w:styleId="750">
    <w:name w:val="Table Grid"/>
    <w:basedOn w:val="748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Table Grid Light"/>
    <w:basedOn w:val="748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Plain Table 1"/>
    <w:basedOn w:val="748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Plain Table 2"/>
    <w:basedOn w:val="748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Plain Table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Plain Table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Plain Table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1 Light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Grid Table 1 Light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Grid Table 1 Light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Grid Table 1 Light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Grid Table 1 Light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Grid Table 1 Light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Grid Table 1 Light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2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2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Grid Table 2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2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Grid Table 2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2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3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3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3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3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3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3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4"/>
    <w:basedOn w:val="74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4 - Accent 1"/>
    <w:basedOn w:val="74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4 - Accent 2"/>
    <w:basedOn w:val="74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4 - Accent 3"/>
    <w:basedOn w:val="74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4 - Accent 4"/>
    <w:basedOn w:val="74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Grid Table 4 - Accent 5"/>
    <w:basedOn w:val="74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Grid Table 4 - Accent 6"/>
    <w:basedOn w:val="74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5 Dark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5 Dark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5 Dark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5 Dark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5 Dark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5 Dark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5 Dark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6 Colorful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6 Colorful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6 Colorful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6 Colorful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6 Colorful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6 Colorful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6 Colorful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7 Colorful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7 Colorful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7 Colorful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7 Colorful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7 Colorful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7 Colorful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7 Colorful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1 Light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List Table 1 Light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st Table 1 Light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List Table 1 Light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st Table 1 Light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List Table 1 Light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st Table 1 Light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2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2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st Table 2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2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st Table 2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2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3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3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st Table 3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3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st Table 3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3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4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4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4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4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st Table 4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st Table 4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5 Dark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5 Dark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5 Dark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5 Dark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5 Dark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5 Dark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5 Dark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6 Colorful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6 Colorful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6 Colorful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6 Colorful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6 Colorful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6 Colorful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6 Colorful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7 Colorful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7 Colorful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7 Colorful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7 Colorful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7 Colorful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7 Colorful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7 Colorful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ned - Accent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ned - Accent 1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ned - Accent 2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ned - Accent 3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ned - Accent 4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ned - Accent 5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ned - Accent 6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Bordered &amp; Lined - Accent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Bordered &amp; Lined - Accent 1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Bordered &amp; Lined - Accent 2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Bordered &amp; Lined - Accent 3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Bordered &amp; Lined - Accent 4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Bordered &amp; Lined - Accent 5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Bordered &amp; Lined - Accent 6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Bordered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Bordered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Bordered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Bordered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Bordered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Bordered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Bordered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76" w:customStyle="1">
    <w:name w:val="Заголовок 1 Знак"/>
    <w:basedOn w:val="747"/>
    <w:link w:val="738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character" w:styleId="877" w:customStyle="1">
    <w:name w:val="Заголовок 2 Знак"/>
    <w:basedOn w:val="747"/>
    <w:link w:val="739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character" w:styleId="878" w:customStyle="1">
    <w:name w:val="Заголовок 3 Знак"/>
    <w:basedOn w:val="747"/>
    <w:link w:val="740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character" w:styleId="879" w:customStyle="1">
    <w:name w:val="Заголовок 4 Знак"/>
    <w:basedOn w:val="747"/>
    <w:link w:val="741"/>
    <w:uiPriority w:val="9"/>
    <w:pPr>
      <w:pBdr/>
      <w:spacing/>
      <w:ind/>
    </w:pPr>
    <w:rPr>
      <w:rFonts w:ascii="Arial" w:hAnsi="Arial" w:eastAsia="Arial" w:cs="Arial"/>
      <w:i/>
      <w:iCs/>
      <w:color w:val="2e74b5" w:themeColor="accent1" w:themeShade="BF"/>
    </w:rPr>
  </w:style>
  <w:style w:type="character" w:styleId="880" w:customStyle="1">
    <w:name w:val="Заголовок 5 Знак"/>
    <w:basedOn w:val="747"/>
    <w:link w:val="742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</w:rPr>
  </w:style>
  <w:style w:type="character" w:styleId="881" w:customStyle="1">
    <w:name w:val="Заголовок 6 Знак"/>
    <w:basedOn w:val="747"/>
    <w:link w:val="7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82" w:customStyle="1">
    <w:name w:val="Заголовок 7 Знак"/>
    <w:basedOn w:val="747"/>
    <w:link w:val="7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83" w:customStyle="1">
    <w:name w:val="Заголовок 8 Знак"/>
    <w:basedOn w:val="747"/>
    <w:link w:val="7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84" w:customStyle="1">
    <w:name w:val="Заголовок 9 Знак"/>
    <w:basedOn w:val="747"/>
    <w:link w:val="7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85">
    <w:name w:val="Title"/>
    <w:basedOn w:val="737"/>
    <w:next w:val="737"/>
    <w:link w:val="88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86" w:customStyle="1">
    <w:name w:val="Заголовок Знак"/>
    <w:basedOn w:val="747"/>
    <w:link w:val="88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87">
    <w:name w:val="Subtitle"/>
    <w:basedOn w:val="737"/>
    <w:next w:val="737"/>
    <w:link w:val="88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88" w:customStyle="1">
    <w:name w:val="Подзаголовок Знак"/>
    <w:basedOn w:val="747"/>
    <w:link w:val="88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89">
    <w:name w:val="Quote"/>
    <w:basedOn w:val="737"/>
    <w:next w:val="737"/>
    <w:link w:val="89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90" w:customStyle="1">
    <w:name w:val="Цитата 2 Знак"/>
    <w:basedOn w:val="747"/>
    <w:link w:val="889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91">
    <w:name w:val="List Paragraph"/>
    <w:basedOn w:val="737"/>
    <w:uiPriority w:val="34"/>
    <w:qFormat/>
    <w:pPr>
      <w:pBdr/>
      <w:spacing/>
      <w:ind w:left="720"/>
      <w:contextualSpacing w:val="true"/>
    </w:pPr>
  </w:style>
  <w:style w:type="character" w:styleId="892">
    <w:name w:val="Intense Emphasis"/>
    <w:basedOn w:val="747"/>
    <w:uiPriority w:val="21"/>
    <w:qFormat/>
    <w:pPr>
      <w:pBdr/>
      <w:spacing/>
      <w:ind/>
    </w:pPr>
    <w:rPr>
      <w:i/>
      <w:iCs/>
      <w:color w:val="2e74b5" w:themeColor="accent1" w:themeShade="BF"/>
    </w:rPr>
  </w:style>
  <w:style w:type="paragraph" w:styleId="893">
    <w:name w:val="Intense Quote"/>
    <w:basedOn w:val="737"/>
    <w:next w:val="737"/>
    <w:link w:val="894"/>
    <w:uiPriority w:val="30"/>
    <w:qFormat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after="360" w:before="360"/>
      <w:ind w:right="864" w:left="864"/>
      <w:jc w:val="center"/>
    </w:pPr>
    <w:rPr>
      <w:i/>
      <w:iCs/>
      <w:color w:val="2e74b5" w:themeColor="accent1" w:themeShade="BF"/>
    </w:rPr>
  </w:style>
  <w:style w:type="character" w:styleId="894" w:customStyle="1">
    <w:name w:val="Выделенная цитата Знак"/>
    <w:basedOn w:val="747"/>
    <w:link w:val="893"/>
    <w:uiPriority w:val="30"/>
    <w:pPr>
      <w:pBdr/>
      <w:spacing/>
      <w:ind/>
    </w:pPr>
    <w:rPr>
      <w:i/>
      <w:iCs/>
      <w:color w:val="2e74b5" w:themeColor="accent1" w:themeShade="BF"/>
    </w:rPr>
  </w:style>
  <w:style w:type="character" w:styleId="895">
    <w:name w:val="Intense Reference"/>
    <w:basedOn w:val="747"/>
    <w:uiPriority w:val="32"/>
    <w:qFormat/>
    <w:pPr>
      <w:pBdr/>
      <w:spacing/>
      <w:ind/>
    </w:pPr>
    <w:rPr>
      <w:b/>
      <w:bCs/>
      <w:smallCaps/>
      <w:color w:val="2e74b5" w:themeColor="accent1" w:themeShade="BF"/>
      <w:spacing w:val="5"/>
    </w:rPr>
  </w:style>
  <w:style w:type="paragraph" w:styleId="896">
    <w:name w:val="No Spacing"/>
    <w:basedOn w:val="737"/>
    <w:uiPriority w:val="1"/>
    <w:qFormat/>
    <w:pPr>
      <w:pBdr/>
      <w:spacing w:after="0" w:line="240" w:lineRule="auto"/>
      <w:ind/>
    </w:pPr>
  </w:style>
  <w:style w:type="character" w:styleId="897">
    <w:name w:val="Subtle Emphasis"/>
    <w:basedOn w:val="7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98">
    <w:name w:val="Emphasis"/>
    <w:basedOn w:val="747"/>
    <w:uiPriority w:val="20"/>
    <w:qFormat/>
    <w:pPr>
      <w:pBdr/>
      <w:spacing/>
      <w:ind/>
    </w:pPr>
    <w:rPr>
      <w:i/>
      <w:iCs/>
    </w:rPr>
  </w:style>
  <w:style w:type="character" w:styleId="899">
    <w:name w:val="Strong"/>
    <w:basedOn w:val="747"/>
    <w:uiPriority w:val="22"/>
    <w:qFormat/>
    <w:pPr>
      <w:pBdr/>
      <w:spacing/>
      <w:ind/>
    </w:pPr>
    <w:rPr>
      <w:b/>
      <w:bCs/>
    </w:rPr>
  </w:style>
  <w:style w:type="character" w:styleId="900">
    <w:name w:val="Subtle Reference"/>
    <w:basedOn w:val="7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01">
    <w:name w:val="Book Title"/>
    <w:basedOn w:val="7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02">
    <w:name w:val="Header"/>
    <w:basedOn w:val="737"/>
    <w:link w:val="90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03" w:customStyle="1">
    <w:name w:val="Верхний колонтитул Знак"/>
    <w:basedOn w:val="747"/>
    <w:link w:val="902"/>
    <w:uiPriority w:val="99"/>
    <w:pPr>
      <w:pBdr/>
      <w:spacing/>
      <w:ind/>
    </w:pPr>
  </w:style>
  <w:style w:type="paragraph" w:styleId="904">
    <w:name w:val="Footer"/>
    <w:basedOn w:val="737"/>
    <w:link w:val="905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05" w:customStyle="1">
    <w:name w:val="Нижний колонтитул Знак"/>
    <w:basedOn w:val="747"/>
    <w:link w:val="904"/>
    <w:uiPriority w:val="99"/>
    <w:pPr>
      <w:pBdr/>
      <w:spacing/>
      <w:ind/>
    </w:pPr>
  </w:style>
  <w:style w:type="paragraph" w:styleId="906">
    <w:name w:val="Caption"/>
    <w:basedOn w:val="737"/>
    <w:next w:val="737"/>
    <w:uiPriority w:val="35"/>
    <w:unhideWhenUsed/>
    <w:qFormat/>
    <w:pPr>
      <w:pBdr/>
      <w:spacing w:line="240" w:lineRule="auto"/>
      <w:ind/>
    </w:pPr>
    <w:rPr>
      <w:i/>
      <w:iCs/>
      <w:color w:val="44546a" w:themeColor="text2"/>
      <w:sz w:val="18"/>
      <w:szCs w:val="18"/>
    </w:rPr>
  </w:style>
  <w:style w:type="paragraph" w:styleId="907">
    <w:name w:val="footnote text"/>
    <w:basedOn w:val="737"/>
    <w:link w:val="90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08" w:customStyle="1">
    <w:name w:val="Текст сноски Знак"/>
    <w:basedOn w:val="747"/>
    <w:link w:val="907"/>
    <w:uiPriority w:val="99"/>
    <w:semiHidden/>
    <w:pPr>
      <w:pBdr/>
      <w:spacing/>
      <w:ind/>
    </w:pPr>
    <w:rPr>
      <w:sz w:val="20"/>
      <w:szCs w:val="20"/>
    </w:rPr>
  </w:style>
  <w:style w:type="character" w:styleId="909">
    <w:name w:val="footnote reference"/>
    <w:basedOn w:val="747"/>
    <w:uiPriority w:val="99"/>
    <w:semiHidden/>
    <w:unhideWhenUsed/>
    <w:pPr>
      <w:pBdr/>
      <w:spacing/>
      <w:ind/>
    </w:pPr>
    <w:rPr>
      <w:vertAlign w:val="superscript"/>
    </w:rPr>
  </w:style>
  <w:style w:type="paragraph" w:styleId="910">
    <w:name w:val="endnote text"/>
    <w:basedOn w:val="737"/>
    <w:link w:val="91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11" w:customStyle="1">
    <w:name w:val="Текст концевой сноски Знак"/>
    <w:basedOn w:val="747"/>
    <w:link w:val="910"/>
    <w:uiPriority w:val="99"/>
    <w:semiHidden/>
    <w:pPr>
      <w:pBdr/>
      <w:spacing/>
      <w:ind/>
    </w:pPr>
    <w:rPr>
      <w:sz w:val="20"/>
      <w:szCs w:val="20"/>
    </w:rPr>
  </w:style>
  <w:style w:type="character" w:styleId="912">
    <w:name w:val="endnote reference"/>
    <w:basedOn w:val="747"/>
    <w:uiPriority w:val="99"/>
    <w:semiHidden/>
    <w:unhideWhenUsed/>
    <w:pPr>
      <w:pBdr/>
      <w:spacing/>
      <w:ind/>
    </w:pPr>
    <w:rPr>
      <w:vertAlign w:val="superscript"/>
    </w:rPr>
  </w:style>
  <w:style w:type="character" w:styleId="913">
    <w:name w:val="Hyperlink"/>
    <w:basedOn w:val="74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14">
    <w:name w:val="FollowedHyperlink"/>
    <w:basedOn w:val="7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15">
    <w:name w:val="toc 1"/>
    <w:basedOn w:val="737"/>
    <w:next w:val="737"/>
    <w:uiPriority w:val="39"/>
    <w:unhideWhenUsed/>
    <w:pPr>
      <w:pBdr/>
      <w:spacing w:after="100"/>
      <w:ind/>
    </w:pPr>
  </w:style>
  <w:style w:type="paragraph" w:styleId="916">
    <w:name w:val="toc 2"/>
    <w:basedOn w:val="737"/>
    <w:next w:val="737"/>
    <w:uiPriority w:val="39"/>
    <w:unhideWhenUsed/>
    <w:pPr>
      <w:pBdr/>
      <w:spacing w:after="100"/>
      <w:ind w:left="220"/>
    </w:pPr>
  </w:style>
  <w:style w:type="paragraph" w:styleId="917">
    <w:name w:val="toc 3"/>
    <w:basedOn w:val="737"/>
    <w:next w:val="737"/>
    <w:uiPriority w:val="39"/>
    <w:unhideWhenUsed/>
    <w:pPr>
      <w:pBdr/>
      <w:spacing w:after="100"/>
      <w:ind w:left="440"/>
    </w:pPr>
  </w:style>
  <w:style w:type="paragraph" w:styleId="918">
    <w:name w:val="toc 4"/>
    <w:basedOn w:val="737"/>
    <w:next w:val="737"/>
    <w:uiPriority w:val="39"/>
    <w:unhideWhenUsed/>
    <w:pPr>
      <w:pBdr/>
      <w:spacing w:after="100"/>
      <w:ind w:left="660"/>
    </w:pPr>
  </w:style>
  <w:style w:type="paragraph" w:styleId="919">
    <w:name w:val="toc 5"/>
    <w:basedOn w:val="737"/>
    <w:next w:val="737"/>
    <w:uiPriority w:val="39"/>
    <w:unhideWhenUsed/>
    <w:pPr>
      <w:pBdr/>
      <w:spacing w:after="100"/>
      <w:ind w:left="880"/>
    </w:pPr>
  </w:style>
  <w:style w:type="paragraph" w:styleId="920">
    <w:name w:val="toc 6"/>
    <w:basedOn w:val="737"/>
    <w:next w:val="737"/>
    <w:uiPriority w:val="39"/>
    <w:unhideWhenUsed/>
    <w:pPr>
      <w:pBdr/>
      <w:spacing w:after="100"/>
      <w:ind w:left="1100"/>
    </w:pPr>
  </w:style>
  <w:style w:type="paragraph" w:styleId="921">
    <w:name w:val="toc 7"/>
    <w:basedOn w:val="737"/>
    <w:next w:val="737"/>
    <w:uiPriority w:val="39"/>
    <w:unhideWhenUsed/>
    <w:pPr>
      <w:pBdr/>
      <w:spacing w:after="100"/>
      <w:ind w:left="1320"/>
    </w:pPr>
  </w:style>
  <w:style w:type="paragraph" w:styleId="922">
    <w:name w:val="toc 8"/>
    <w:basedOn w:val="737"/>
    <w:next w:val="737"/>
    <w:uiPriority w:val="39"/>
    <w:unhideWhenUsed/>
    <w:pPr>
      <w:pBdr/>
      <w:spacing w:after="100"/>
      <w:ind w:left="1540"/>
    </w:pPr>
  </w:style>
  <w:style w:type="paragraph" w:styleId="923">
    <w:name w:val="toc 9"/>
    <w:basedOn w:val="737"/>
    <w:next w:val="737"/>
    <w:uiPriority w:val="39"/>
    <w:unhideWhenUsed/>
    <w:pPr>
      <w:pBdr/>
      <w:spacing w:after="100"/>
      <w:ind w:left="1760"/>
    </w:pPr>
  </w:style>
  <w:style w:type="paragraph" w:styleId="924">
    <w:name w:val="TOC Heading"/>
    <w:uiPriority w:val="39"/>
    <w:unhideWhenUsed/>
    <w:pPr>
      <w:pBdr/>
      <w:spacing/>
      <w:ind/>
    </w:pPr>
  </w:style>
  <w:style w:type="paragraph" w:styleId="925">
    <w:name w:val="table of figures"/>
    <w:basedOn w:val="737"/>
    <w:next w:val="737"/>
    <w:uiPriority w:val="99"/>
    <w:unhideWhenUsed/>
    <w:pPr>
      <w:pBdr/>
      <w:spacing w:after="0"/>
      <w:ind/>
    </w:pPr>
  </w:style>
  <w:style w:type="paragraph" w:styleId="926" w:customStyle="1">
    <w:name w:val="ConsPlusNormal"/>
    <w:pPr>
      <w:widowControl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0" w:lineRule="auto"/>
      <w:ind/>
    </w:pPr>
    <w:rPr>
      <w:rFonts w:ascii="Calibri" w:hAnsi="Calibri" w:cs="Calibri" w:eastAsiaTheme="minorEastAsia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yperlink" Target="https://login.consultant.ru/link/?req=doc&amp;base=RLAW363&amp;n=158902" TargetMode="External"/><Relationship Id="rId10" Type="http://schemas.openxmlformats.org/officeDocument/2006/relationships/hyperlink" Target="https://login.consultant.ru/link/?req=doc&amp;base=RLAW363&amp;n=174072&amp;dst=10000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ONLYOFFICE/9.0.3.29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Салахова Гульшат Минзагитовна</dc:creator>
  <cp:keywords/>
  <dc:description/>
  <cp:revision>25</cp:revision>
  <dcterms:created xsi:type="dcterms:W3CDTF">2024-12-19T11:59:00Z</dcterms:created>
  <dcterms:modified xsi:type="dcterms:W3CDTF">2025-08-07T07:30:39Z</dcterms:modified>
</cp:coreProperties>
</file>