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8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___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_______ 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highlight w:val="none"/>
        </w:rPr>
        <w:t xml:space="preserve">№ 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tabs>
          <w:tab w:val="left" w:leader="none" w:pos="3544"/>
        </w:tabs>
        <w:spacing w:after="0" w:line="240" w:lineRule="auto"/>
        <w:ind w:right="5528" w:firstLine="0" w:left="0"/>
        <w:jc w:val="both"/>
        <w:rPr/>
      </w:pPr>
      <w:r>
        <w:rPr>
          <w:highlight w:val="none"/>
        </w:rPr>
      </w:r>
      <w:r>
        <w:rPr>
          <w:highlight w:val="none"/>
        </w:rPr>
      </w:r>
      <w:bookmarkStart w:id="1" w:name="_Hlk170484123"/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внесении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изменений</w:t>
      </w:r>
      <w:r>
        <w:rPr>
          <w:rFonts w:ascii="Times New Roman" w:hAnsi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 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</w:rPr>
        <w:t xml:space="preserve">от 10.09.2024 № 759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Об утверждении норматива стоимости оказания услуги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опьянения, на 2025 год и на плановый период 2026 и 2027 годо</w:t>
      </w:r>
      <w:r>
        <w:rPr>
          <w:rFonts w:ascii="Times New Roman" w:hAnsi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958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End w:id="1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12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постановление Кабинета Министров Республики Татарстан </w:t>
      </w:r>
      <w:r>
        <w:rPr>
          <w:rFonts w:ascii="Times New Roman" w:hAnsi="Times New Roman"/>
          <w:sz w:val="28"/>
          <w:szCs w:val="28"/>
          <w:lang w:eastAsia="ru-RU"/>
        </w:rPr>
        <w:t xml:space="preserve">от 10.09.2024 № 759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норматива стоимости оказания услуги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опьянения, на 2025 год и на плановый период 2026 и 2027 годо</w:t>
      </w:r>
      <w:r>
        <w:rPr>
          <w:rFonts w:ascii="Times New Roman" w:hAnsi="Times New Roman"/>
          <w:sz w:val="28"/>
          <w:szCs w:val="28"/>
          <w:lang w:eastAsia="ru-RU"/>
        </w:rPr>
        <w:t xml:space="preserve">в»</w:t>
      </w:r>
      <w:r>
        <w:rPr>
          <w:rFonts w:ascii="Times New Roman" w:hAnsi="Times New Roman"/>
          <w:sz w:val="28"/>
          <w:szCs w:val="28"/>
          <w14:ligatures w14:val="none"/>
        </w:rPr>
        <w:t xml:space="preserve">, следующие </w:t>
      </w:r>
      <w:r>
        <w:rPr>
          <w:rFonts w:ascii="Times New Roman" w:hAnsi="Times New Roman"/>
          <w:sz w:val="28"/>
          <w:szCs w:val="28"/>
          <w14:ligatures w14:val="none"/>
        </w:rPr>
        <w:t xml:space="preserve">изменения: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Bdr/>
        <w:spacing w:after="0" w:line="312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 графе 2 норматива стоимости оказания услуги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опьянения,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, утвержденного указанным постановлением, цифры «</w:t>
      </w:r>
      <w:r>
        <w:rPr>
          <w:rFonts w:ascii="Times New Roman" w:hAnsi="Times New Roman"/>
          <w:sz w:val="28"/>
          <w:szCs w:val="28"/>
          <w:highlight w:val="none"/>
        </w:rPr>
        <w:t xml:space="preserve">903,26</w:t>
      </w:r>
      <w:r>
        <w:rPr>
          <w:rFonts w:ascii="Times New Roman" w:hAnsi="Times New Roman"/>
          <w:sz w:val="28"/>
          <w:szCs w:val="28"/>
          <w:highlight w:val="none"/>
        </w:rPr>
        <w:t xml:space="preserve">» заменить цифрами «</w:t>
      </w:r>
      <w:r>
        <w:rPr>
          <w:rFonts w:ascii="Times New Roman" w:hAnsi="Times New Roman"/>
          <w:sz w:val="28"/>
          <w:szCs w:val="28"/>
          <w:highlight w:val="none"/>
        </w:rPr>
        <w:t xml:space="preserve">990,09»;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Bdr/>
        <w:spacing w:after="0" w:line="312" w:lineRule="auto"/>
        <w:ind w:firstLine="709"/>
        <w:jc w:val="both"/>
        <w:rPr>
          <w:rFonts w:ascii="Times New Roman" w:hAnsi="Times New Roman"/>
          <w:highlight w:val="none"/>
        </w:rPr>
      </w:pP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графе 2 ко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рректирующих (поправочных) коэффициентов к нормативу стоимости оказания услуги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опьянения, учитывающие различия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в инфраструктурной об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еспеченности и иные факторы, влияющие на значение норматива стоимости оказания услуги,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утвержденных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 указанным постановлением, цифры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1,580272»,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1,580272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»,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1,580272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»,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1,580272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»,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1,580272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»,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1,623737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»,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1,580272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»,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1,580272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»,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1,580272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0,999863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»,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0,999954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 заменить цифрами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1,505356»,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1,505356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», 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1,505356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»,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1,505356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», 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1,505356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», 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1,546752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», 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1,505356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», 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1,505356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», 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1,505356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», 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0,952466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», 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0,952556</w:t>
      </w:r>
      <w:r>
        <w:rPr>
          <w:rFonts w:ascii="Times New Roman" w:hAnsi="Times New Roman"/>
          <w:sz w:val="28"/>
          <w:szCs w:val="28"/>
          <w:highlight w:val="none"/>
          <w:lang w:val="ru-RU"/>
          <w14:ligatures w14:val="none"/>
        </w:rPr>
        <w:t xml:space="preserve">» соответственно.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/>
        <w:jc w:val="center"/>
        <w:rPr/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 внесении изменений в постановление Кабинета Министров Республики Татарстан 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от 10.09.2024 № 759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 «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Об утверждении норматива стоимости оказания услуги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опьянения, на 2025 год и на плановый период</w:t>
        <w:br/>
        <w:t xml:space="preserve">2026 и 2027 годо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в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b/>
          <w:sz w:val="28"/>
          <w:szCs w:val="28"/>
          <w:highlight w:val="none"/>
        </w:rPr>
      </w:r>
      <w:r/>
    </w:p>
    <w:p>
      <w:pPr>
        <w:pStyle w:val="958"/>
        <w:pBdr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/>
          <w:sz w:val="28"/>
          <w:szCs w:val="28"/>
          <w:highlight w:val="none"/>
        </w:rPr>
        <w:t xml:space="preserve"> внесении изменений в постановление Кабинета Министров Республики Татарстан </w:t>
      </w:r>
      <w:r>
        <w:rPr>
          <w:rFonts w:ascii="Times New Roman" w:hAnsi="Times New Roman"/>
          <w:sz w:val="28"/>
          <w:szCs w:val="28"/>
          <w:highlight w:val="none"/>
        </w:rPr>
        <w:t xml:space="preserve">от 10.09.2024 № 759</w:t>
      </w:r>
      <w:r>
        <w:rPr>
          <w:rFonts w:ascii="Times New Roman" w:hAnsi="Times New Roman"/>
          <w:sz w:val="28"/>
          <w:szCs w:val="28"/>
          <w:highlight w:val="none"/>
        </w:rPr>
        <w:t xml:space="preserve"> «</w:t>
      </w:r>
      <w:r>
        <w:rPr>
          <w:rFonts w:ascii="Times New Roman" w:hAnsi="Times New Roman"/>
          <w:sz w:val="28"/>
          <w:szCs w:val="28"/>
          <w:highlight w:val="none"/>
        </w:rPr>
        <w:t xml:space="preserve">Об утверждении норматива стоимости оказания услуги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опьянения, на 2025 год и на плановый период 2026 и 2027 годо</w:t>
      </w:r>
      <w:r>
        <w:rPr>
          <w:rFonts w:ascii="Times New Roman" w:hAnsi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(далее – ПКМ РТ № 759) разработан </w:t>
      </w:r>
      <w:r>
        <w:rPr>
          <w:rFonts w:ascii="Times New Roman" w:hAnsi="Times New Roman"/>
          <w:sz w:val="28"/>
          <w:szCs w:val="28"/>
          <w:highlight w:val="none"/>
        </w:rPr>
        <w:t xml:space="preserve">в соответствии с обращением </w:t>
      </w:r>
      <w:r>
        <w:rPr>
          <w:rFonts w:ascii="Times New Roman" w:hAnsi="Times New Roman"/>
          <w:sz w:val="28"/>
          <w:szCs w:val="28"/>
          <w:highlight w:val="none"/>
        </w:rPr>
        <w:t xml:space="preserve">Министерства финансов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от </w:t>
      </w:r>
      <w:r>
        <w:rPr>
          <w:rFonts w:ascii="Times New Roman" w:hAnsi="Times New Roman"/>
          <w:sz w:val="28"/>
          <w:szCs w:val="28"/>
          <w:highlight w:val="none"/>
        </w:rPr>
        <w:t xml:space="preserve">31.07.2025</w:t>
      </w:r>
      <w:r>
        <w:rPr>
          <w:rFonts w:ascii="Times New Roman" w:hAnsi="Times New Roman"/>
          <w:sz w:val="28"/>
          <w:szCs w:val="28"/>
          <w:highlight w:val="none"/>
        </w:rPr>
        <w:t xml:space="preserve"> № </w:t>
      </w:r>
      <w:r>
        <w:rPr>
          <w:rFonts w:ascii="Times New Roman" w:hAnsi="Times New Roman"/>
          <w:sz w:val="28"/>
          <w:szCs w:val="28"/>
          <w:highlight w:val="none"/>
        </w:rPr>
        <w:t xml:space="preserve">10-13/5073</w:t>
      </w:r>
      <w:r>
        <w:rPr>
          <w:rFonts w:ascii="Times New Roman" w:hAnsi="Times New Roman"/>
          <w:sz w:val="28"/>
          <w:szCs w:val="28"/>
          <w:highlight w:val="none"/>
        </w:rPr>
        <w:t xml:space="preserve"> по вопросу внесения соответствующих изменений в </w:t>
      </w:r>
      <w:r>
        <w:rPr>
          <w:rFonts w:ascii="Times New Roman" w:hAnsi="Times New Roman"/>
          <w:sz w:val="28"/>
          <w:szCs w:val="28"/>
          <w:highlight w:val="none"/>
        </w:rPr>
        <w:t xml:space="preserve">ПКМ РТ № 759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части реализации решения </w:t>
      </w:r>
      <w:r>
        <w:rPr>
          <w:rFonts w:ascii="Times New Roman" w:hAnsi="Times New Roman"/>
          <w:sz w:val="28"/>
          <w:szCs w:val="28"/>
          <w:highlight w:val="none"/>
        </w:rPr>
        <w:t xml:space="preserve">Раиса Республики Татарстан Минниханова</w:t>
      </w:r>
      <w:r>
        <w:rPr>
          <w:rFonts w:ascii="Times New Roman" w:hAnsi="Times New Roman"/>
          <w:sz w:val="28"/>
          <w:szCs w:val="28"/>
          <w:highlight w:val="none"/>
        </w:rPr>
        <w:t xml:space="preserve"> Р.Н.</w:t>
      </w:r>
      <w:r>
        <w:rPr>
          <w:rFonts w:ascii="Times New Roman" w:hAnsi="Times New Roman"/>
          <w:sz w:val="28"/>
          <w:szCs w:val="28"/>
          <w:highlight w:val="none"/>
        </w:rPr>
        <w:t xml:space="preserve"> о повышении заработной платы работникам бюджетной сферы с 1 мая 2025 года (</w:t>
      </w:r>
      <w:r>
        <w:rPr>
          <w:rFonts w:ascii="Times New Roman" w:hAnsi="Times New Roman"/>
          <w:sz w:val="28"/>
          <w:szCs w:val="28"/>
          <w:highlight w:val="none"/>
        </w:rPr>
        <w:t xml:space="preserve">от 28.03.2025</w:t>
      </w:r>
      <w:r>
        <w:rPr>
          <w:rFonts w:ascii="Times New Roman" w:hAnsi="Times New Roman"/>
          <w:sz w:val="28"/>
          <w:szCs w:val="28"/>
          <w:highlight w:val="none"/>
        </w:rPr>
        <w:t xml:space="preserve"> №15126-МР )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вносятся изменения в части </w:t>
      </w:r>
      <w:r>
        <w:rPr>
          <w:rFonts w:ascii="Times New Roman" w:hAnsi="Times New Roman"/>
          <w:sz w:val="28"/>
          <w:szCs w:val="28"/>
          <w:highlight w:val="none"/>
        </w:rPr>
        <w:t xml:space="preserve">корректировки</w:t>
      </w:r>
      <w:r>
        <w:rPr>
          <w:rFonts w:ascii="Times New Roman" w:hAnsi="Times New Roman"/>
          <w:sz w:val="28"/>
          <w:szCs w:val="28"/>
          <w:highlight w:val="none"/>
        </w:rPr>
        <w:t xml:space="preserve">: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6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норматива стоимости оказания услуги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</w:t>
      </w:r>
      <w:r>
        <w:rPr>
          <w:rFonts w:ascii="Times New Roman" w:hAnsi="Times New Roman"/>
          <w:sz w:val="28"/>
          <w:szCs w:val="28"/>
          <w:highlight w:val="none"/>
        </w:rPr>
        <w:t xml:space="preserve">, на 2025 год</w:t>
      </w:r>
      <w:r>
        <w:rPr>
          <w:rFonts w:ascii="Times New Roman" w:hAnsi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корректирующих (поправочных) коэффициентов к нормативу стоимости оказания услуги по организации и осуществлению мероприятий по оказанию помощи лицам, находящимся в состоянии алкогольного, наркотического или иного токсического опьянения, учитывающие различ</w:t>
      </w:r>
      <w:r>
        <w:rPr>
          <w:rFonts w:ascii="Times New Roman" w:hAnsi="Times New Roman"/>
          <w:sz w:val="28"/>
          <w:szCs w:val="28"/>
          <w:highlight w:val="none"/>
        </w:rPr>
        <w:t xml:space="preserve">ия в инфраструктурной обеспеченности и иные факторы, влияющие на значение норматива стоимости оказания услуги, на 2025 год.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Выделение средств из бюджета Республики Татарстан на указанные цели согласовано Раисом Республики Татарстан Миннихановым Р.Н. </w:t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  <w:t xml:space="preserve">Отсутствует необходимость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в проведении оценки регулирующего воздействия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 проекта постановления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 w:cs="Arial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  <w:t xml:space="preserve">По итогам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независимой антикоррупционной экспертизы</w:t>
      </w:r>
      <w:r>
        <w:rPr>
          <w:rFonts w:ascii="Times New Roman" w:hAnsi="Times New Roman"/>
          <w:sz w:val="28"/>
          <w:szCs w:val="28"/>
        </w:rPr>
        <w:t xml:space="preserve"> проекта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/>
          <w:sz w:val="28"/>
          <w:szCs w:val="28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заключений не поступало.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headerReference w:type="default" r:id="rId10"/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5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9">
    <w:name w:val="Placeholder Text"/>
    <w:basedOn w:val="906"/>
    <w:uiPriority w:val="99"/>
    <w:semiHidden/>
    <w:pPr>
      <w:pBdr/>
      <w:spacing/>
      <w:ind/>
    </w:pPr>
    <w:rPr>
      <w:color w:val="666666"/>
    </w:rPr>
  </w:style>
  <w:style w:type="table" w:styleId="7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Table Grid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Table Grid Light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1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2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1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2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3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5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6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7">
    <w:name w:val="Heading 1"/>
    <w:basedOn w:val="958"/>
    <w:next w:val="958"/>
    <w:link w:val="90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8">
    <w:name w:val="Heading 2"/>
    <w:basedOn w:val="958"/>
    <w:next w:val="958"/>
    <w:link w:val="90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9">
    <w:name w:val="Heading 3"/>
    <w:basedOn w:val="958"/>
    <w:next w:val="958"/>
    <w:link w:val="91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0">
    <w:name w:val="Heading 4"/>
    <w:basedOn w:val="958"/>
    <w:next w:val="958"/>
    <w:link w:val="91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1">
    <w:name w:val="Heading 5"/>
    <w:basedOn w:val="958"/>
    <w:next w:val="958"/>
    <w:link w:val="9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2">
    <w:name w:val="Heading 6"/>
    <w:basedOn w:val="958"/>
    <w:next w:val="958"/>
    <w:link w:val="91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3">
    <w:name w:val="Heading 7"/>
    <w:basedOn w:val="958"/>
    <w:next w:val="958"/>
    <w:link w:val="91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4">
    <w:name w:val="Heading 8"/>
    <w:basedOn w:val="958"/>
    <w:next w:val="958"/>
    <w:link w:val="91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Heading 9"/>
    <w:basedOn w:val="958"/>
    <w:next w:val="958"/>
    <w:link w:val="91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numbering" w:styleId="907" w:default="1">
    <w:name w:val="No List"/>
    <w:uiPriority w:val="99"/>
    <w:semiHidden/>
    <w:unhideWhenUsed/>
    <w:pPr>
      <w:pBdr/>
      <w:spacing/>
      <w:ind/>
    </w:pPr>
  </w:style>
  <w:style w:type="character" w:styleId="908">
    <w:name w:val="Heading 1 Char"/>
    <w:basedOn w:val="906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9">
    <w:name w:val="Heading 2 Char"/>
    <w:basedOn w:val="906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0">
    <w:name w:val="Heading 3 Char"/>
    <w:basedOn w:val="906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1">
    <w:name w:val="Heading 4 Char"/>
    <w:basedOn w:val="906"/>
    <w:link w:val="9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2">
    <w:name w:val="Heading 5 Char"/>
    <w:basedOn w:val="906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3">
    <w:name w:val="Heading 6 Char"/>
    <w:basedOn w:val="906"/>
    <w:link w:val="9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4">
    <w:name w:val="Heading 7 Char"/>
    <w:basedOn w:val="906"/>
    <w:link w:val="9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5">
    <w:name w:val="Heading 8 Char"/>
    <w:basedOn w:val="906"/>
    <w:link w:val="9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6">
    <w:name w:val="Heading 9 Char"/>
    <w:basedOn w:val="906"/>
    <w:link w:val="9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7">
    <w:name w:val="Title"/>
    <w:basedOn w:val="958"/>
    <w:next w:val="958"/>
    <w:link w:val="91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8">
    <w:name w:val="Title Char"/>
    <w:basedOn w:val="906"/>
    <w:link w:val="9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9">
    <w:name w:val="Subtitle"/>
    <w:basedOn w:val="958"/>
    <w:next w:val="958"/>
    <w:link w:val="92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0">
    <w:name w:val="Subtitle Char"/>
    <w:basedOn w:val="906"/>
    <w:link w:val="9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1">
    <w:name w:val="Quote"/>
    <w:basedOn w:val="958"/>
    <w:next w:val="958"/>
    <w:link w:val="92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2">
    <w:name w:val="Quote Char"/>
    <w:basedOn w:val="906"/>
    <w:link w:val="92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3">
    <w:name w:val="List Paragraph"/>
    <w:basedOn w:val="958"/>
    <w:uiPriority w:val="34"/>
    <w:qFormat/>
    <w:pPr>
      <w:pBdr/>
      <w:spacing/>
      <w:ind w:left="720"/>
      <w:contextualSpacing w:val="true"/>
    </w:pPr>
  </w:style>
  <w:style w:type="character" w:styleId="924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5">
    <w:name w:val="Intense Quote"/>
    <w:basedOn w:val="958"/>
    <w:next w:val="958"/>
    <w:link w:val="9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6">
    <w:name w:val="Intense Quote Char"/>
    <w:basedOn w:val="906"/>
    <w:link w:val="9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7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8">
    <w:name w:val="No Spacing"/>
    <w:basedOn w:val="958"/>
    <w:uiPriority w:val="1"/>
    <w:qFormat/>
    <w:pPr>
      <w:pBdr/>
      <w:spacing w:after="0" w:line="240" w:lineRule="auto"/>
      <w:ind/>
    </w:pPr>
  </w:style>
  <w:style w:type="character" w:styleId="92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93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93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4">
    <w:name w:val="Header"/>
    <w:basedOn w:val="958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5">
    <w:name w:val="Header Char"/>
    <w:basedOn w:val="906"/>
    <w:link w:val="934"/>
    <w:uiPriority w:val="99"/>
    <w:pPr>
      <w:pBdr/>
      <w:spacing/>
      <w:ind/>
    </w:pPr>
  </w:style>
  <w:style w:type="paragraph" w:styleId="936">
    <w:name w:val="Footer"/>
    <w:basedOn w:val="958"/>
    <w:link w:val="9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7">
    <w:name w:val="Footer Char"/>
    <w:basedOn w:val="906"/>
    <w:link w:val="936"/>
    <w:uiPriority w:val="99"/>
    <w:pPr>
      <w:pBdr/>
      <w:spacing/>
      <w:ind/>
    </w:pPr>
  </w:style>
  <w:style w:type="paragraph" w:styleId="938">
    <w:name w:val="Caption"/>
    <w:basedOn w:val="958"/>
    <w:next w:val="95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9">
    <w:name w:val="footnote text"/>
    <w:basedOn w:val="958"/>
    <w:link w:val="9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0">
    <w:name w:val="Footnote Text Char"/>
    <w:basedOn w:val="906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41">
    <w:name w:val="foot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942">
    <w:name w:val="endnote text"/>
    <w:basedOn w:val="958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Endnote Text Char"/>
    <w:basedOn w:val="906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character" w:styleId="945">
    <w:name w:val="Hyperlink"/>
    <w:basedOn w:val="9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7">
    <w:name w:val="toc 1"/>
    <w:basedOn w:val="958"/>
    <w:next w:val="958"/>
    <w:uiPriority w:val="39"/>
    <w:unhideWhenUsed/>
    <w:pPr>
      <w:pBdr/>
      <w:spacing w:after="100"/>
      <w:ind/>
    </w:pPr>
  </w:style>
  <w:style w:type="paragraph" w:styleId="948">
    <w:name w:val="toc 2"/>
    <w:basedOn w:val="958"/>
    <w:next w:val="958"/>
    <w:uiPriority w:val="39"/>
    <w:unhideWhenUsed/>
    <w:pPr>
      <w:pBdr/>
      <w:spacing w:after="100"/>
      <w:ind w:left="220"/>
    </w:pPr>
  </w:style>
  <w:style w:type="paragraph" w:styleId="949">
    <w:name w:val="toc 3"/>
    <w:basedOn w:val="958"/>
    <w:next w:val="958"/>
    <w:uiPriority w:val="39"/>
    <w:unhideWhenUsed/>
    <w:pPr>
      <w:pBdr/>
      <w:spacing w:after="100"/>
      <w:ind w:left="440"/>
    </w:pPr>
  </w:style>
  <w:style w:type="paragraph" w:styleId="950">
    <w:name w:val="toc 4"/>
    <w:basedOn w:val="958"/>
    <w:next w:val="958"/>
    <w:uiPriority w:val="39"/>
    <w:unhideWhenUsed/>
    <w:pPr>
      <w:pBdr/>
      <w:spacing w:after="100"/>
      <w:ind w:left="660"/>
    </w:pPr>
  </w:style>
  <w:style w:type="paragraph" w:styleId="951">
    <w:name w:val="toc 5"/>
    <w:basedOn w:val="958"/>
    <w:next w:val="958"/>
    <w:uiPriority w:val="39"/>
    <w:unhideWhenUsed/>
    <w:pPr>
      <w:pBdr/>
      <w:spacing w:after="100"/>
      <w:ind w:left="880"/>
    </w:pPr>
  </w:style>
  <w:style w:type="paragraph" w:styleId="952">
    <w:name w:val="toc 6"/>
    <w:basedOn w:val="958"/>
    <w:next w:val="958"/>
    <w:uiPriority w:val="39"/>
    <w:unhideWhenUsed/>
    <w:pPr>
      <w:pBdr/>
      <w:spacing w:after="100"/>
      <w:ind w:left="1100"/>
    </w:pPr>
  </w:style>
  <w:style w:type="paragraph" w:styleId="953">
    <w:name w:val="toc 7"/>
    <w:basedOn w:val="958"/>
    <w:next w:val="958"/>
    <w:uiPriority w:val="39"/>
    <w:unhideWhenUsed/>
    <w:pPr>
      <w:pBdr/>
      <w:spacing w:after="100"/>
      <w:ind w:left="1320"/>
    </w:pPr>
  </w:style>
  <w:style w:type="paragraph" w:styleId="954">
    <w:name w:val="toc 8"/>
    <w:basedOn w:val="958"/>
    <w:next w:val="958"/>
    <w:uiPriority w:val="39"/>
    <w:unhideWhenUsed/>
    <w:pPr>
      <w:pBdr/>
      <w:spacing w:after="100"/>
      <w:ind w:left="1540"/>
    </w:pPr>
  </w:style>
  <w:style w:type="paragraph" w:styleId="955">
    <w:name w:val="toc 9"/>
    <w:basedOn w:val="958"/>
    <w:next w:val="958"/>
    <w:uiPriority w:val="39"/>
    <w:unhideWhenUsed/>
    <w:pPr>
      <w:pBdr/>
      <w:spacing w:after="100"/>
      <w:ind w:left="1760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table of figures"/>
    <w:basedOn w:val="958"/>
    <w:next w:val="958"/>
    <w:uiPriority w:val="99"/>
    <w:unhideWhenUsed/>
    <w:pPr>
      <w:pBdr/>
      <w:spacing w:after="0" w:afterAutospacing="0"/>
      <w:ind/>
    </w:pPr>
  </w:style>
  <w:style w:type="paragraph" w:styleId="958" w:default="1">
    <w:name w:val="Normal"/>
    <w:next w:val="958"/>
    <w:link w:val="958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9">
    <w:name w:val="Основной шрифт абзаца"/>
    <w:next w:val="959"/>
    <w:link w:val="958"/>
    <w:uiPriority w:val="1"/>
    <w:unhideWhenUsed/>
    <w:pPr>
      <w:pBdr/>
      <w:spacing/>
      <w:ind/>
    </w:pPr>
  </w:style>
  <w:style w:type="table" w:styleId="960">
    <w:name w:val="Обычная таблица"/>
    <w:next w:val="960"/>
    <w:link w:val="958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1">
    <w:name w:val="Нет списка"/>
    <w:next w:val="961"/>
    <w:link w:val="958"/>
    <w:uiPriority w:val="99"/>
    <w:semiHidden/>
    <w:unhideWhenUsed/>
    <w:pPr>
      <w:pBdr/>
      <w:spacing/>
      <w:ind/>
    </w:pPr>
  </w:style>
  <w:style w:type="paragraph" w:styleId="962">
    <w:name w:val="Абзац списка"/>
    <w:basedOn w:val="958"/>
    <w:next w:val="962"/>
    <w:link w:val="958"/>
    <w:uiPriority w:val="34"/>
    <w:qFormat/>
    <w:pPr>
      <w:pBdr/>
      <w:spacing/>
      <w:ind w:left="720"/>
      <w:contextualSpacing w:val="true"/>
    </w:pPr>
  </w:style>
  <w:style w:type="table" w:styleId="963">
    <w:name w:val="Сетка таблицы"/>
    <w:basedOn w:val="960"/>
    <w:next w:val="963"/>
    <w:link w:val="958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4">
    <w:name w:val="ConsPlusNormal"/>
    <w:next w:val="964"/>
    <w:link w:val="958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5">
    <w:name w:val="Верхний колонтитул"/>
    <w:basedOn w:val="958"/>
    <w:next w:val="965"/>
    <w:link w:val="9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6">
    <w:name w:val="Верхний колонтитул Знак"/>
    <w:next w:val="966"/>
    <w:link w:val="965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7">
    <w:name w:val="Нижний колонтитул"/>
    <w:basedOn w:val="958"/>
    <w:next w:val="967"/>
    <w:link w:val="96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8">
    <w:name w:val="Нижний колонтитул Знак"/>
    <w:basedOn w:val="959"/>
    <w:next w:val="968"/>
    <w:link w:val="967"/>
    <w:uiPriority w:val="99"/>
    <w:pPr>
      <w:pBdr/>
      <w:spacing/>
      <w:ind/>
    </w:pPr>
  </w:style>
  <w:style w:type="paragraph" w:styleId="969">
    <w:name w:val="Текст выноски"/>
    <w:basedOn w:val="958"/>
    <w:next w:val="969"/>
    <w:link w:val="970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70">
    <w:name w:val="Текст выноски Знак"/>
    <w:next w:val="970"/>
    <w:link w:val="96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1">
    <w:name w:val="ConsPlusCell"/>
    <w:next w:val="971"/>
    <w:link w:val="958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2">
    <w:name w:val="ConsPlusNonformat"/>
    <w:next w:val="972"/>
    <w:link w:val="958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3">
    <w:name w:val="Гиперссылка"/>
    <w:next w:val="973"/>
    <w:link w:val="958"/>
    <w:uiPriority w:val="99"/>
    <w:unhideWhenUsed/>
    <w:pPr>
      <w:pBdr/>
      <w:spacing/>
      <w:ind/>
    </w:pPr>
    <w:rPr>
      <w:color w:val="0563c1"/>
      <w:u w:val="single"/>
    </w:rPr>
  </w:style>
  <w:style w:type="numbering" w:styleId="974">
    <w:name w:val="Нет списка1"/>
    <w:next w:val="961"/>
    <w:link w:val="958"/>
    <w:uiPriority w:val="99"/>
    <w:semiHidden/>
    <w:unhideWhenUsed/>
    <w:pPr>
      <w:pBdr/>
      <w:spacing/>
      <w:ind/>
    </w:pPr>
  </w:style>
  <w:style w:type="table" w:styleId="975">
    <w:name w:val="Сетка таблицы1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6">
    <w:name w:val="Просмотренная гиперссылка"/>
    <w:next w:val="976"/>
    <w:link w:val="958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77">
    <w:name w:val="xl65"/>
    <w:basedOn w:val="958"/>
    <w:next w:val="977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8">
    <w:name w:val="xl66"/>
    <w:basedOn w:val="958"/>
    <w:next w:val="978"/>
    <w:link w:val="958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9">
    <w:name w:val="xl67"/>
    <w:basedOn w:val="958"/>
    <w:next w:val="979"/>
    <w:link w:val="958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0">
    <w:name w:val="xl68"/>
    <w:basedOn w:val="958"/>
    <w:next w:val="980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1">
    <w:name w:val="xl69"/>
    <w:basedOn w:val="958"/>
    <w:next w:val="981"/>
    <w:link w:val="958"/>
    <w:pPr>
      <w:pBdr>
        <w:left w:val="single" w:color="000000" w:sz="4" w:space="0"/>
        <w:right w:val="single" w:color="000000" w:sz="4" w:space="0"/>
      </w:pBdr>
      <w:shd w:val="clear" w:color="000000" w:fill="8497b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2">
    <w:name w:val="xl70"/>
    <w:basedOn w:val="958"/>
    <w:next w:val="982"/>
    <w:link w:val="958"/>
    <w:pPr>
      <w:pBdr>
        <w:left w:val="single" w:color="000000" w:sz="4" w:space="0"/>
        <w:right w:val="single" w:color="000000" w:sz="4" w:space="0"/>
      </w:pBdr>
      <w:shd w:val="clear" w:color="000000" w:fill="33cc33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3">
    <w:name w:val="xl71"/>
    <w:basedOn w:val="958"/>
    <w:next w:val="983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4">
    <w:name w:val="xl72"/>
    <w:basedOn w:val="958"/>
    <w:next w:val="984"/>
    <w:link w:val="958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5">
    <w:name w:val="xl73"/>
    <w:basedOn w:val="958"/>
    <w:next w:val="985"/>
    <w:link w:val="958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6">
    <w:name w:val="xl74"/>
    <w:basedOn w:val="958"/>
    <w:next w:val="986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7">
    <w:name w:val="xl75"/>
    <w:basedOn w:val="958"/>
    <w:next w:val="987"/>
    <w:link w:val="958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8">
    <w:name w:val="xl76"/>
    <w:basedOn w:val="958"/>
    <w:next w:val="988"/>
    <w:link w:val="958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9">
    <w:name w:val="xl77"/>
    <w:basedOn w:val="958"/>
    <w:next w:val="989"/>
    <w:link w:val="958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0">
    <w:name w:val="xl78"/>
    <w:basedOn w:val="958"/>
    <w:next w:val="990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1">
    <w:name w:val="xl79"/>
    <w:basedOn w:val="958"/>
    <w:next w:val="991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992">
    <w:name w:val="Нет списка2"/>
    <w:next w:val="961"/>
    <w:link w:val="958"/>
    <w:uiPriority w:val="99"/>
    <w:semiHidden/>
    <w:unhideWhenUsed/>
    <w:pPr>
      <w:pBdr/>
      <w:spacing/>
      <w:ind/>
    </w:pPr>
  </w:style>
  <w:style w:type="paragraph" w:styleId="993">
    <w:name w:val="xl80"/>
    <w:basedOn w:val="958"/>
    <w:next w:val="993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4">
    <w:name w:val="xl81"/>
    <w:basedOn w:val="958"/>
    <w:next w:val="994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5">
    <w:name w:val="xl82"/>
    <w:basedOn w:val="958"/>
    <w:next w:val="995"/>
    <w:link w:val="958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6">
    <w:name w:val="xl83"/>
    <w:basedOn w:val="958"/>
    <w:next w:val="996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7">
    <w:name w:val="xl84"/>
    <w:basedOn w:val="958"/>
    <w:next w:val="997"/>
    <w:link w:val="958"/>
    <w:pPr>
      <w:pBdr>
        <w:top w:val="single" w:color="000000" w:sz="4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8">
    <w:name w:val="xl85"/>
    <w:basedOn w:val="958"/>
    <w:next w:val="998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9">
    <w:name w:val="xl86"/>
    <w:basedOn w:val="958"/>
    <w:next w:val="999"/>
    <w:link w:val="95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0">
    <w:name w:val="xl87"/>
    <w:basedOn w:val="958"/>
    <w:next w:val="1000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1">
    <w:name w:val="xl88"/>
    <w:basedOn w:val="958"/>
    <w:next w:val="1001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2">
    <w:name w:val="xl89"/>
    <w:basedOn w:val="958"/>
    <w:next w:val="1002"/>
    <w:link w:val="958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3">
    <w:name w:val="xl90"/>
    <w:basedOn w:val="958"/>
    <w:next w:val="1003"/>
    <w:link w:val="95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4">
    <w:name w:val="xl91"/>
    <w:basedOn w:val="958"/>
    <w:next w:val="1004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5">
    <w:name w:val="xl92"/>
    <w:basedOn w:val="958"/>
    <w:next w:val="1005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6">
    <w:name w:val="xl93"/>
    <w:basedOn w:val="958"/>
    <w:next w:val="1006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7">
    <w:name w:val="xl94"/>
    <w:basedOn w:val="958"/>
    <w:next w:val="1007"/>
    <w:link w:val="958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8">
    <w:name w:val="xl95"/>
    <w:basedOn w:val="958"/>
    <w:next w:val="1008"/>
    <w:link w:val="958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9">
    <w:name w:val="xl96"/>
    <w:basedOn w:val="958"/>
    <w:next w:val="1009"/>
    <w:link w:val="958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0">
    <w:name w:val="xl97"/>
    <w:basedOn w:val="958"/>
    <w:next w:val="1010"/>
    <w:link w:val="958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1">
    <w:name w:val="xl98"/>
    <w:basedOn w:val="958"/>
    <w:next w:val="1011"/>
    <w:link w:val="958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2">
    <w:name w:val="xl99"/>
    <w:basedOn w:val="958"/>
    <w:next w:val="1012"/>
    <w:link w:val="958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3">
    <w:name w:val="xl100"/>
    <w:basedOn w:val="958"/>
    <w:next w:val="1013"/>
    <w:link w:val="958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4">
    <w:name w:val="xl101"/>
    <w:basedOn w:val="958"/>
    <w:next w:val="1014"/>
    <w:link w:val="958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5">
    <w:name w:val="xl102"/>
    <w:basedOn w:val="958"/>
    <w:next w:val="1015"/>
    <w:link w:val="958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16">
    <w:name w:val="Нет списка3"/>
    <w:next w:val="961"/>
    <w:link w:val="958"/>
    <w:uiPriority w:val="99"/>
    <w:semiHidden/>
    <w:unhideWhenUsed/>
    <w:pPr>
      <w:pBdr/>
      <w:spacing/>
      <w:ind/>
    </w:pPr>
  </w:style>
  <w:style w:type="table" w:styleId="1017">
    <w:name w:val="Сетка таблицы2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8">
    <w:name w:val="Нет списка11"/>
    <w:next w:val="961"/>
    <w:link w:val="958"/>
    <w:uiPriority w:val="99"/>
    <w:semiHidden/>
    <w:unhideWhenUsed/>
    <w:pPr>
      <w:pBdr/>
      <w:spacing/>
      <w:ind/>
    </w:pPr>
  </w:style>
  <w:style w:type="table" w:styleId="1019">
    <w:name w:val="Сетка таблицы11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0">
    <w:name w:val="Нет списка21"/>
    <w:next w:val="961"/>
    <w:link w:val="958"/>
    <w:uiPriority w:val="99"/>
    <w:semiHidden/>
    <w:unhideWhenUsed/>
    <w:pPr>
      <w:pBdr/>
      <w:spacing/>
      <w:ind/>
    </w:pPr>
  </w:style>
  <w:style w:type="paragraph" w:styleId="1021">
    <w:name w:val="msonormal"/>
    <w:basedOn w:val="958"/>
    <w:next w:val="1021"/>
    <w:link w:val="9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2">
    <w:name w:val="xl64"/>
    <w:basedOn w:val="958"/>
    <w:next w:val="1022"/>
    <w:link w:val="9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3">
    <w:name w:val="xl103"/>
    <w:basedOn w:val="958"/>
    <w:next w:val="1023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cc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4">
    <w:name w:val="xl104"/>
    <w:basedOn w:val="958"/>
    <w:next w:val="1024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5">
    <w:name w:val="xl105"/>
    <w:basedOn w:val="958"/>
    <w:next w:val="1025"/>
    <w:link w:val="958"/>
    <w:pPr>
      <w:pBdr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6">
    <w:name w:val="xl106"/>
    <w:basedOn w:val="958"/>
    <w:next w:val="1026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7">
    <w:name w:val="xl107"/>
    <w:basedOn w:val="958"/>
    <w:next w:val="1027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8">
    <w:name w:val="xl108"/>
    <w:basedOn w:val="958"/>
    <w:next w:val="1028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9">
    <w:name w:val="xl109"/>
    <w:basedOn w:val="958"/>
    <w:next w:val="1029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0">
    <w:name w:val="xl110"/>
    <w:basedOn w:val="958"/>
    <w:next w:val="1030"/>
    <w:link w:val="958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1">
    <w:name w:val="xl111"/>
    <w:basedOn w:val="958"/>
    <w:next w:val="1031"/>
    <w:link w:val="958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2">
    <w:name w:val="xl112"/>
    <w:basedOn w:val="958"/>
    <w:next w:val="1032"/>
    <w:link w:val="958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3">
    <w:name w:val="xl113"/>
    <w:basedOn w:val="958"/>
    <w:next w:val="1033"/>
    <w:link w:val="958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4">
    <w:name w:val="xl114"/>
    <w:basedOn w:val="958"/>
    <w:next w:val="1034"/>
    <w:link w:val="958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5">
    <w:name w:val="xl115"/>
    <w:basedOn w:val="958"/>
    <w:next w:val="1035"/>
    <w:link w:val="958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6">
    <w:name w:val="xl116"/>
    <w:basedOn w:val="958"/>
    <w:next w:val="1036"/>
    <w:link w:val="95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7">
    <w:name w:val="xl117"/>
    <w:basedOn w:val="958"/>
    <w:next w:val="1037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8">
    <w:name w:val="xl118"/>
    <w:basedOn w:val="958"/>
    <w:next w:val="1038"/>
    <w:link w:val="95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9">
    <w:name w:val="xl119"/>
    <w:basedOn w:val="958"/>
    <w:next w:val="1039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0">
    <w:name w:val="xl120"/>
    <w:basedOn w:val="958"/>
    <w:next w:val="1040"/>
    <w:link w:val="958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1">
    <w:name w:val="xl121"/>
    <w:basedOn w:val="958"/>
    <w:next w:val="1041"/>
    <w:link w:val="958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2">
    <w:name w:val="xl122"/>
    <w:basedOn w:val="958"/>
    <w:next w:val="1042"/>
    <w:link w:val="958"/>
    <w:pPr>
      <w:pBdr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3">
    <w:name w:val="xl123"/>
    <w:basedOn w:val="958"/>
    <w:next w:val="1043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4">
    <w:name w:val="xl124"/>
    <w:basedOn w:val="958"/>
    <w:next w:val="1044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5">
    <w:name w:val="xl125"/>
    <w:basedOn w:val="958"/>
    <w:next w:val="1045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6">
    <w:name w:val="xl126"/>
    <w:basedOn w:val="958"/>
    <w:next w:val="1046"/>
    <w:link w:val="958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7">
    <w:name w:val="xl127"/>
    <w:basedOn w:val="958"/>
    <w:next w:val="1047"/>
    <w:link w:val="958"/>
    <w:pPr>
      <w:pBdr>
        <w:top w:val="single" w:color="000000" w:sz="4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8">
    <w:name w:val="xl128"/>
    <w:basedOn w:val="958"/>
    <w:next w:val="1048"/>
    <w:link w:val="958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9">
    <w:name w:val="xl129"/>
    <w:basedOn w:val="958"/>
    <w:next w:val="1049"/>
    <w:link w:val="958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0">
    <w:name w:val="xl130"/>
    <w:basedOn w:val="958"/>
    <w:next w:val="1050"/>
    <w:link w:val="958"/>
    <w:pPr>
      <w:pBdr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1">
    <w:name w:val="xl131"/>
    <w:basedOn w:val="958"/>
    <w:next w:val="1051"/>
    <w:link w:val="958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2">
    <w:name w:val="xl132"/>
    <w:basedOn w:val="958"/>
    <w:next w:val="1052"/>
    <w:link w:val="958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3">
    <w:name w:val="xl133"/>
    <w:basedOn w:val="958"/>
    <w:next w:val="1053"/>
    <w:link w:val="958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054">
    <w:name w:val="Неразрешенное упоминание"/>
    <w:next w:val="1054"/>
    <w:link w:val="95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55">
    <w:name w:val="Обычный (веб)"/>
    <w:basedOn w:val="958"/>
    <w:next w:val="1055"/>
    <w:link w:val="958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  <w:style w:type="character" w:styleId="1056" w:customStyle="1">
    <w:name w:val="StGen0"/>
    <w:pPr>
      <w:pBdr/>
      <w:spacing/>
      <w:ind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656</cp:revision>
  <dcterms:created xsi:type="dcterms:W3CDTF">2016-09-30T12:20:00Z</dcterms:created>
  <dcterms:modified xsi:type="dcterms:W3CDTF">2025-08-04T10:21:09Z</dcterms:modified>
  <cp:version>1048576</cp:version>
</cp:coreProperties>
</file>