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0"/>
        <w:pBdr/>
        <w:spacing w:after="0" w:line="264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64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tabs>
          <w:tab w:val="left" w:leader="none" w:pos="4111"/>
          <w:tab w:val="left" w:leader="none" w:pos="4962"/>
        </w:tabs>
        <w:spacing w:after="0" w:line="264" w:lineRule="auto"/>
        <w:ind w:right="5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tabs>
          <w:tab w:val="left" w:leader="none" w:pos="4111"/>
          <w:tab w:val="left" w:leader="none" w:pos="4962"/>
        </w:tabs>
        <w:spacing w:after="0" w:line="264" w:lineRule="auto"/>
        <w:ind w:right="552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09.09.2024 № 748 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компонент</w:t>
      </w:r>
      <w:r>
        <w:rPr>
          <w:rFonts w:ascii="Times New Roman" w:hAnsi="Times New Roman"/>
          <w:sz w:val="28"/>
          <w:szCs w:val="28"/>
        </w:rPr>
        <w:t xml:space="preserve">ов на 2025 год и на плановый период 2026 и 2027 годов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50"/>
        <w:pBdr/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0"/>
        <w:pBdr/>
        <w:spacing w:after="0" w:line="288" w:lineRule="auto"/>
        <w:ind w:firstLine="72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от 09.09.2024 № 748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компонент</w:t>
      </w:r>
      <w:r>
        <w:rPr>
          <w:rFonts w:ascii="Times New Roman" w:hAnsi="Times New Roman"/>
          <w:sz w:val="28"/>
          <w:szCs w:val="28"/>
          <w:lang w:eastAsia="ru-RU"/>
        </w:rPr>
        <w:t xml:space="preserve">ов на 2025 год и на плановый период 2026 и 2027 годов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изменения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графе 2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«Государственное автономное учреждение здравоохранения «Республиканская клиническая больница Министерства здравоохранения Республики Татарстан»</w:t>
      </w:r>
      <w:r>
        <w:rPr>
          <w:rFonts w:ascii="Times New Roman" w:hAnsi="Times New Roman"/>
          <w:sz w:val="28"/>
          <w:szCs w:val="28"/>
          <w:lang w:eastAsia="ru-RU"/>
        </w:rPr>
        <w:t xml:space="preserve"> поправочных коэффициентов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lang w:eastAsia="ru-RU"/>
        </w:rPr>
        <w:t xml:space="preserve"> нормативным затратам медицинских организаций государственной системы здравоохранения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компонентов, на 2025 год </w:t>
      </w:r>
      <w:r>
        <w:rPr>
          <w:rFonts w:ascii="Times New Roman" w:hAnsi="Times New Roman"/>
          <w:sz w:val="28"/>
          <w:szCs w:val="28"/>
          <w:lang w:eastAsia="ru-RU"/>
        </w:rPr>
        <w:t xml:space="preserve">и на плановый период 2026 и 2027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утвержденных указанным постановлением, 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0,647599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0,563461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объем</w:t>
      </w:r>
      <w:r>
        <w:rPr>
          <w:rFonts w:ascii="Times New Roman" w:hAnsi="Times New Roman"/>
          <w:sz w:val="28"/>
          <w:szCs w:val="28"/>
          <w:lang w:eastAsia="ru-RU"/>
        </w:rPr>
        <w:t xml:space="preserve">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/>
          <w:sz w:val="28"/>
          <w:szCs w:val="28"/>
          <w:lang w:eastAsia="ru-RU"/>
        </w:rPr>
        <w:t xml:space="preserve">осударственной работы по заготовке, хранению, транспортировке и обеспечению безопасности донорской крови и ее компонентов, выполняемой медицинскими организациями государственной системы здравоохранения Республики Татарстан, на 2025 год и на плановый период</w:t>
      </w:r>
      <w:r>
        <w:rPr>
          <w:rFonts w:ascii="Times New Roman" w:hAnsi="Times New Roman"/>
          <w:sz w:val="28"/>
          <w:szCs w:val="28"/>
          <w:lang w:eastAsia="ru-RU"/>
        </w:rPr>
        <w:t xml:space="preserve"> 2026 и 2027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утвержденных указанным постановлением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разделе «Государственное автономное учреждение здравоохранения «Республиканская клиническая больница Министерства здравоохранения Республики Татарстан»: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графе 5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цельная донорская кровь от доноров крови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2 152,9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3 466,5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графе 5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цельная донорская кровь методом автоматического афереза (для заготовки свежезамороженной плазмы методом плазмафереза)</w:t>
      </w:r>
      <w:r>
        <w:rPr>
          <w:rFonts w:ascii="Times New Roman" w:hAnsi="Times New Roman"/>
          <w:sz w:val="28"/>
          <w:szCs w:val="28"/>
          <w:lang w:eastAsia="ru-RU"/>
        </w:rPr>
        <w:t xml:space="preserve">» цифры</w:t>
        <w:br/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2 668,1</w:t>
      </w:r>
      <w:r>
        <w:rPr>
          <w:rFonts w:ascii="Times New Roman" w:hAnsi="Times New Roman"/>
          <w:sz w:val="28"/>
          <w:szCs w:val="28"/>
          <w:lang w:eastAsia="ru-RU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lang w:eastAsia="ru-RU"/>
        </w:rPr>
        <w:t xml:space="preserve">230,0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after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в графе 5 строки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цельная донорская кровь методом тромбоцитофереза (для заготовки свежезамороженной плазмы методом плазмафереза)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цифры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1 281,0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4 870,5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after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2. Признать утратившими силу следующие постановления Кабинета Министров Республики Татарстан: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afterAutospacing="0" w:line="288" w:lineRule="auto"/>
        <w:ind w:firstLine="72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от 22.10.2024 </w:t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 906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08.09.2023 </w:t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 1112 </w:t>
      </w: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ы по заготовке, хранению, транспортировке и обеспечению безопасности донорской крови и ее компонентов на 2024 - 2026 годы</w:t>
      </w:r>
      <w:r>
        <w:rPr>
          <w:rFonts w:ascii="Times New Roman" w:hAnsi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spacing w:after="0" w:afterAutospacing="0" w:line="288" w:lineRule="auto"/>
        <w:ind w:firstLine="72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от 07.12.2024 </w:t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 1113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08.09.2023 </w:t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 1112 </w:t>
      </w: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ы по заготовке, хранению, транспортировке и обеспечению безопасности донорской крови и ее компонентов на 2024 - 2026 годы</w:t>
      </w:r>
      <w:r>
        <w:rPr>
          <w:rFonts w:ascii="Times New Roman" w:hAnsi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50"/>
        <w:pBdr/>
        <w:spacing w:after="0" w:afterAutospacing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50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0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0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 w:line="360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/>
      <w:bookmarkStart w:id="0" w:name="_Hlk1116954"/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внесении изменений в постановление Кабинета Министров Республики Татарстан от 09.09.2024 № 748 «Об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 на 2025 год и на плановый период 2026 и 2027 годов»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bookmarkStart w:id="1" w:name="_GoBack"/>
      <w:r/>
      <w:bookmarkEnd w:id="1"/>
      <w:r/>
      <w:bookmarkEnd w:id="0"/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 w:after="0" w:line="360" w:lineRule="auto"/>
        <w:ind w:firstLine="993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>
      <w:pPr>
        <w:pBdr/>
        <w:spacing w:after="0" w:line="36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внесении изменений в постановление Кабинета Министров Республики Татарстан от 09.09.2024 № 748 «Об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 на 2025 год и на плановый период 2026 и 2027 годов»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исполнение пункта 2 распоряжения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01</w:t>
      </w:r>
      <w:r>
        <w:rPr>
          <w:rFonts w:ascii="Times New Roman" w:hAnsi="Times New Roman" w:eastAsia="Calibri" w:cs="Times New Roman"/>
          <w:sz w:val="28"/>
          <w:szCs w:val="28"/>
        </w:rPr>
        <w:t xml:space="preserve">.0</w:t>
      </w:r>
      <w:r>
        <w:rPr>
          <w:rFonts w:ascii="Times New Roman" w:hAnsi="Times New Roman" w:eastAsia="Calibri" w:cs="Times New Roman"/>
          <w:sz w:val="28"/>
          <w:szCs w:val="28"/>
        </w:rPr>
        <w:t xml:space="preserve">7</w:t>
      </w:r>
      <w:r>
        <w:rPr>
          <w:rFonts w:ascii="Times New Roman" w:hAnsi="Times New Roman" w:eastAsia="Calibri" w:cs="Times New Roman"/>
          <w:sz w:val="28"/>
          <w:szCs w:val="28"/>
        </w:rPr>
        <w:t xml:space="preserve">.202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 </w:t>
      </w:r>
      <w:r>
        <w:rPr>
          <w:rFonts w:ascii="Times New Roman" w:hAnsi="Times New Roman" w:eastAsia="Calibri" w:cs="Times New Roman"/>
          <w:sz w:val="28"/>
          <w:szCs w:val="28"/>
        </w:rPr>
        <w:t xml:space="preserve">1464</w:t>
      </w:r>
      <w:r>
        <w:rPr>
          <w:rFonts w:ascii="Times New Roman" w:hAnsi="Times New Roman" w:eastAsia="Calibri" w:cs="Times New Roman"/>
          <w:sz w:val="28"/>
          <w:szCs w:val="28"/>
        </w:rPr>
        <w:t xml:space="preserve">-р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предоставлении субсидии государственному автономно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учреждени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Республиканская клиническая больница Министерства здравоохранения Республики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(далее – ГАУЗ «РК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Б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МЗ РТ»)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увеличение объема финансового обеспечения выполнения государственного задания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целях заготовки, хранения, транспортировки и обеспечения безопасности донорской крови и ее компонентов.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постановления вносятся изменения в поправочные коэффициенты к нормативным затратам медицинских организаций государственной системы здравоох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ранения Республики Татарстан, выполняющих государственную работу по заготовке, хранению, транспортировке и обеспечению безопасности донорской крови и ее компонентов, и объемы государственной работы по заготовке, хранению, транспортировке и обеспечению безо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пасности доно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рской крови и ее компонентов, выполняемой медицинскими организациями государственной системы здравоохранения Республики Татарстан, в части корректировки поправочного коэффициента к нормативным затратам и объемов государственной работы, выполняемой ГАУЗ «РК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Б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МЗ РТ».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708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  <w:r/>
    </w:p>
    <w:p>
      <w:pPr>
        <w:pBdr/>
        <w:spacing w:after="0" w:line="360" w:lineRule="auto"/>
        <w:ind w:firstLine="708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  <w:r/>
    </w:p>
    <w:p>
      <w:pPr>
        <w:pBdr/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950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0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default" r:id="rId11"/>
      <w:headerReference w:type="first" r:id="rId12"/>
      <w:footnotePr/>
      <w:endnotePr/>
      <w:type w:val="nextPage"/>
      <w:pgSz w:h="16838" w:orient="portrait" w:w="11905"/>
      <w:pgMar w:top="1134" w:right="567" w:bottom="1134" w:left="1134" w:header="34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2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25"/>
      <w:pBdr/>
      <w:spacing/>
      <w:ind/>
      <w:rPr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Heading 1"/>
    <w:basedOn w:val="950"/>
    <w:next w:val="950"/>
    <w:link w:val="89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9">
    <w:name w:val="Heading 2"/>
    <w:basedOn w:val="950"/>
    <w:next w:val="950"/>
    <w:link w:val="90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0">
    <w:name w:val="Heading 3"/>
    <w:basedOn w:val="950"/>
    <w:next w:val="950"/>
    <w:link w:val="9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1">
    <w:name w:val="Heading 4"/>
    <w:basedOn w:val="950"/>
    <w:next w:val="950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2">
    <w:name w:val="Heading 5"/>
    <w:basedOn w:val="950"/>
    <w:next w:val="950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3">
    <w:name w:val="Heading 6"/>
    <w:basedOn w:val="950"/>
    <w:next w:val="950"/>
    <w:link w:val="9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4">
    <w:name w:val="Heading 7"/>
    <w:basedOn w:val="950"/>
    <w:next w:val="950"/>
    <w:link w:val="90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5">
    <w:name w:val="Heading 8"/>
    <w:basedOn w:val="950"/>
    <w:next w:val="950"/>
    <w:link w:val="9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Heading 9"/>
    <w:basedOn w:val="950"/>
    <w:next w:val="950"/>
    <w:link w:val="90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character" w:styleId="899">
    <w:name w:val="Heading 1 Char"/>
    <w:basedOn w:val="897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0">
    <w:name w:val="Heading 2 Char"/>
    <w:basedOn w:val="897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1">
    <w:name w:val="Heading 3 Char"/>
    <w:basedOn w:val="89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2">
    <w:name w:val="Heading 4 Char"/>
    <w:basedOn w:val="897"/>
    <w:link w:val="8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3">
    <w:name w:val="Heading 5 Char"/>
    <w:basedOn w:val="897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4">
    <w:name w:val="Heading 6 Char"/>
    <w:basedOn w:val="89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5">
    <w:name w:val="Heading 7 Char"/>
    <w:basedOn w:val="897"/>
    <w:link w:val="8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6">
    <w:name w:val="Heading 8 Char"/>
    <w:basedOn w:val="897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9 Char"/>
    <w:basedOn w:val="897"/>
    <w:link w:val="8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Title"/>
    <w:basedOn w:val="950"/>
    <w:next w:val="950"/>
    <w:link w:val="90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9">
    <w:name w:val="Title Char"/>
    <w:basedOn w:val="897"/>
    <w:link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950"/>
    <w:next w:val="950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>
    <w:name w:val="Subtitle Char"/>
    <w:basedOn w:val="897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50"/>
    <w:next w:val="950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897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4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1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50"/>
    <w:next w:val="950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897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50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5">
    <w:name w:val="Header"/>
    <w:basedOn w:val="950"/>
    <w:link w:val="9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6">
    <w:name w:val="Header Char"/>
    <w:basedOn w:val="897"/>
    <w:link w:val="925"/>
    <w:uiPriority w:val="99"/>
    <w:pPr>
      <w:pBdr/>
      <w:spacing/>
      <w:ind/>
    </w:pPr>
  </w:style>
  <w:style w:type="paragraph" w:styleId="927">
    <w:name w:val="Footer"/>
    <w:basedOn w:val="950"/>
    <w:link w:val="9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8">
    <w:name w:val="Footer Char"/>
    <w:basedOn w:val="897"/>
    <w:link w:val="927"/>
    <w:uiPriority w:val="99"/>
    <w:pPr>
      <w:pBdr/>
      <w:spacing/>
      <w:ind/>
    </w:pPr>
  </w:style>
  <w:style w:type="paragraph" w:styleId="929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0">
    <w:name w:val="footnote text"/>
    <w:basedOn w:val="950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Footnote Text Char"/>
    <w:basedOn w:val="897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50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Endnote Text Char"/>
    <w:basedOn w:val="897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Hyperlink"/>
    <w:basedOn w:val="8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939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940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941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2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3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4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5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6">
    <w:name w:val="toc 9"/>
    <w:basedOn w:val="950"/>
    <w:next w:val="950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897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next w:val="950"/>
    <w:link w:val="95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1">
    <w:name w:val="Основной шрифт абзаца"/>
    <w:next w:val="951"/>
    <w:link w:val="950"/>
    <w:uiPriority w:val="1"/>
    <w:unhideWhenUsed/>
    <w:pPr>
      <w:pBdr/>
      <w:spacing/>
      <w:ind/>
    </w:pPr>
  </w:style>
  <w:style w:type="table" w:styleId="952">
    <w:name w:val="Обычная таблица"/>
    <w:next w:val="952"/>
    <w:link w:val="95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3">
    <w:name w:val="Нет списка"/>
    <w:next w:val="953"/>
    <w:link w:val="950"/>
    <w:uiPriority w:val="99"/>
    <w:semiHidden/>
    <w:unhideWhenUsed/>
    <w:pPr>
      <w:pBdr/>
      <w:spacing/>
      <w:ind/>
    </w:pPr>
  </w:style>
  <w:style w:type="paragraph" w:styleId="954">
    <w:name w:val="Абзац списка"/>
    <w:basedOn w:val="950"/>
    <w:next w:val="954"/>
    <w:link w:val="950"/>
    <w:uiPriority w:val="34"/>
    <w:qFormat/>
    <w:pPr>
      <w:pBdr/>
      <w:spacing/>
      <w:ind w:left="720"/>
      <w:contextualSpacing w:val="true"/>
    </w:pPr>
  </w:style>
  <w:style w:type="table" w:styleId="955">
    <w:name w:val="Сетка таблицы"/>
    <w:basedOn w:val="952"/>
    <w:next w:val="955"/>
    <w:link w:val="95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6">
    <w:name w:val="ConsPlusNormal"/>
    <w:next w:val="956"/>
    <w:link w:val="95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57">
    <w:name w:val="Верхний колонтитул"/>
    <w:basedOn w:val="950"/>
    <w:next w:val="957"/>
    <w:link w:val="95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58">
    <w:name w:val="Верхний колонтитул Знак"/>
    <w:next w:val="958"/>
    <w:link w:val="95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59">
    <w:name w:val="Нижний колонтитул"/>
    <w:basedOn w:val="950"/>
    <w:next w:val="959"/>
    <w:link w:val="96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0">
    <w:name w:val="Нижний колонтитул Знак"/>
    <w:basedOn w:val="951"/>
    <w:next w:val="960"/>
    <w:link w:val="959"/>
    <w:uiPriority w:val="99"/>
    <w:pPr>
      <w:pBdr/>
      <w:spacing/>
      <w:ind/>
    </w:pPr>
  </w:style>
  <w:style w:type="paragraph" w:styleId="961">
    <w:name w:val="Текст выноски"/>
    <w:basedOn w:val="950"/>
    <w:next w:val="961"/>
    <w:link w:val="96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2">
    <w:name w:val="Текст выноски Знак"/>
    <w:next w:val="962"/>
    <w:link w:val="9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3">
    <w:name w:val="ConsPlusCell"/>
    <w:next w:val="963"/>
    <w:link w:val="95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64">
    <w:name w:val="ConsPlusNonformat"/>
    <w:next w:val="964"/>
    <w:link w:val="95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65">
    <w:name w:val="Гиперссылка"/>
    <w:next w:val="965"/>
    <w:link w:val="950"/>
    <w:uiPriority w:val="99"/>
    <w:unhideWhenUsed/>
    <w:pPr>
      <w:pBdr/>
      <w:spacing/>
      <w:ind/>
    </w:pPr>
    <w:rPr>
      <w:color w:val="0563c1"/>
      <w:u w:val="single"/>
    </w:rPr>
  </w:style>
  <w:style w:type="numbering" w:styleId="966">
    <w:name w:val="Нет списка1"/>
    <w:next w:val="953"/>
    <w:link w:val="950"/>
    <w:uiPriority w:val="99"/>
    <w:semiHidden/>
    <w:unhideWhenUsed/>
    <w:pPr>
      <w:pBdr/>
      <w:spacing/>
      <w:ind/>
    </w:pPr>
  </w:style>
  <w:style w:type="table" w:styleId="967">
    <w:name w:val="Сетка таблицы1"/>
    <w:basedOn w:val="952"/>
    <w:next w:val="955"/>
    <w:link w:val="95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Просмотренная гиперссылка"/>
    <w:next w:val="968"/>
    <w:link w:val="95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69">
    <w:name w:val="xl65"/>
    <w:basedOn w:val="950"/>
    <w:next w:val="969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0">
    <w:name w:val="xl66"/>
    <w:basedOn w:val="950"/>
    <w:next w:val="970"/>
    <w:link w:val="95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1">
    <w:name w:val="xl67"/>
    <w:basedOn w:val="950"/>
    <w:next w:val="971"/>
    <w:link w:val="95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2">
    <w:name w:val="xl68"/>
    <w:basedOn w:val="950"/>
    <w:next w:val="972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3">
    <w:name w:val="xl69"/>
    <w:basedOn w:val="950"/>
    <w:next w:val="973"/>
    <w:link w:val="95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4">
    <w:name w:val="xl70"/>
    <w:basedOn w:val="950"/>
    <w:next w:val="974"/>
    <w:link w:val="95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5">
    <w:name w:val="xl71"/>
    <w:basedOn w:val="950"/>
    <w:next w:val="975"/>
    <w:link w:val="95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6">
    <w:name w:val="xl72"/>
    <w:basedOn w:val="950"/>
    <w:next w:val="976"/>
    <w:link w:val="95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7">
    <w:name w:val="xl73"/>
    <w:basedOn w:val="950"/>
    <w:next w:val="977"/>
    <w:link w:val="95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74"/>
    <w:basedOn w:val="950"/>
    <w:next w:val="978"/>
    <w:link w:val="95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75"/>
    <w:basedOn w:val="950"/>
    <w:next w:val="979"/>
    <w:link w:val="95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76"/>
    <w:basedOn w:val="950"/>
    <w:next w:val="980"/>
    <w:link w:val="95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77"/>
    <w:basedOn w:val="950"/>
    <w:next w:val="981"/>
    <w:link w:val="95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8"/>
    <w:basedOn w:val="950"/>
    <w:next w:val="982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9"/>
    <w:basedOn w:val="950"/>
    <w:next w:val="983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84">
    <w:name w:val="Нет списка2"/>
    <w:next w:val="953"/>
    <w:link w:val="950"/>
    <w:uiPriority w:val="99"/>
    <w:semiHidden/>
    <w:unhideWhenUsed/>
    <w:pPr>
      <w:pBdr/>
      <w:spacing/>
      <w:ind/>
    </w:pPr>
  </w:style>
  <w:style w:type="paragraph" w:styleId="985">
    <w:name w:val="xl80"/>
    <w:basedOn w:val="950"/>
    <w:next w:val="985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81"/>
    <w:basedOn w:val="950"/>
    <w:next w:val="986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87">
    <w:name w:val="xl82"/>
    <w:basedOn w:val="950"/>
    <w:next w:val="987"/>
    <w:link w:val="95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83"/>
    <w:basedOn w:val="950"/>
    <w:next w:val="988"/>
    <w:link w:val="95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89">
    <w:name w:val="xl84"/>
    <w:basedOn w:val="950"/>
    <w:next w:val="989"/>
    <w:link w:val="95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85"/>
    <w:basedOn w:val="950"/>
    <w:next w:val="990"/>
    <w:link w:val="95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86"/>
    <w:basedOn w:val="950"/>
    <w:next w:val="991"/>
    <w:link w:val="95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87"/>
    <w:basedOn w:val="950"/>
    <w:next w:val="992"/>
    <w:link w:val="95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88"/>
    <w:basedOn w:val="950"/>
    <w:next w:val="993"/>
    <w:link w:val="95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9"/>
    <w:basedOn w:val="950"/>
    <w:next w:val="994"/>
    <w:link w:val="95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90"/>
    <w:basedOn w:val="950"/>
    <w:next w:val="995"/>
    <w:link w:val="95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91"/>
    <w:basedOn w:val="950"/>
    <w:next w:val="996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92"/>
    <w:basedOn w:val="950"/>
    <w:next w:val="997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93"/>
    <w:basedOn w:val="950"/>
    <w:next w:val="998"/>
    <w:link w:val="95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94"/>
    <w:basedOn w:val="950"/>
    <w:next w:val="999"/>
    <w:link w:val="95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95"/>
    <w:basedOn w:val="950"/>
    <w:next w:val="1000"/>
    <w:link w:val="95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96"/>
    <w:basedOn w:val="950"/>
    <w:next w:val="1001"/>
    <w:link w:val="95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97"/>
    <w:basedOn w:val="950"/>
    <w:next w:val="1002"/>
    <w:link w:val="95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8"/>
    <w:basedOn w:val="950"/>
    <w:next w:val="1003"/>
    <w:link w:val="95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9"/>
    <w:basedOn w:val="950"/>
    <w:next w:val="1004"/>
    <w:link w:val="95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100"/>
    <w:basedOn w:val="950"/>
    <w:next w:val="1005"/>
    <w:link w:val="95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101"/>
    <w:basedOn w:val="950"/>
    <w:next w:val="1006"/>
    <w:link w:val="95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102"/>
    <w:basedOn w:val="950"/>
    <w:next w:val="1007"/>
    <w:link w:val="95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08">
    <w:name w:val="Нет списка3"/>
    <w:next w:val="953"/>
    <w:link w:val="950"/>
    <w:uiPriority w:val="99"/>
    <w:semiHidden/>
    <w:unhideWhenUsed/>
    <w:pPr>
      <w:pBdr/>
      <w:spacing/>
      <w:ind/>
    </w:pPr>
  </w:style>
  <w:style w:type="table" w:styleId="1009">
    <w:name w:val="Сетка таблицы2"/>
    <w:basedOn w:val="952"/>
    <w:next w:val="955"/>
    <w:link w:val="95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0">
    <w:name w:val="Нет списка11"/>
    <w:next w:val="953"/>
    <w:link w:val="950"/>
    <w:uiPriority w:val="99"/>
    <w:semiHidden/>
    <w:unhideWhenUsed/>
    <w:pPr>
      <w:pBdr/>
      <w:spacing/>
      <w:ind/>
    </w:pPr>
  </w:style>
  <w:style w:type="table" w:styleId="1011">
    <w:name w:val="Сетка таблицы11"/>
    <w:basedOn w:val="952"/>
    <w:next w:val="955"/>
    <w:link w:val="95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2">
    <w:name w:val="Нет списка21"/>
    <w:next w:val="953"/>
    <w:link w:val="950"/>
    <w:uiPriority w:val="99"/>
    <w:semiHidden/>
    <w:unhideWhenUsed/>
    <w:pPr>
      <w:pBdr/>
      <w:spacing/>
      <w:ind/>
    </w:pPr>
  </w:style>
  <w:style w:type="paragraph" w:styleId="1013">
    <w:name w:val="msonormal"/>
    <w:basedOn w:val="950"/>
    <w:next w:val="1013"/>
    <w:link w:val="95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4">
    <w:name w:val="xl64"/>
    <w:basedOn w:val="950"/>
    <w:next w:val="1014"/>
    <w:link w:val="95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5">
    <w:name w:val="xl103"/>
    <w:basedOn w:val="950"/>
    <w:next w:val="1015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4"/>
    <w:basedOn w:val="950"/>
    <w:next w:val="1016"/>
    <w:link w:val="95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5"/>
    <w:basedOn w:val="950"/>
    <w:next w:val="1017"/>
    <w:link w:val="95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8">
    <w:name w:val="xl106"/>
    <w:basedOn w:val="950"/>
    <w:next w:val="1018"/>
    <w:link w:val="95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9">
    <w:name w:val="xl107"/>
    <w:basedOn w:val="950"/>
    <w:next w:val="1019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0">
    <w:name w:val="xl108"/>
    <w:basedOn w:val="950"/>
    <w:next w:val="1020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1">
    <w:name w:val="xl109"/>
    <w:basedOn w:val="950"/>
    <w:next w:val="1021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2">
    <w:name w:val="xl110"/>
    <w:basedOn w:val="950"/>
    <w:next w:val="1022"/>
    <w:link w:val="95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11"/>
    <w:basedOn w:val="950"/>
    <w:next w:val="1023"/>
    <w:link w:val="95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12"/>
    <w:basedOn w:val="950"/>
    <w:next w:val="1024"/>
    <w:link w:val="95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13"/>
    <w:basedOn w:val="950"/>
    <w:next w:val="1025"/>
    <w:link w:val="95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14"/>
    <w:basedOn w:val="950"/>
    <w:next w:val="1026"/>
    <w:link w:val="95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15"/>
    <w:basedOn w:val="950"/>
    <w:next w:val="1027"/>
    <w:link w:val="95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16"/>
    <w:basedOn w:val="950"/>
    <w:next w:val="1028"/>
    <w:link w:val="95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17"/>
    <w:basedOn w:val="950"/>
    <w:next w:val="1029"/>
    <w:link w:val="95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8"/>
    <w:basedOn w:val="950"/>
    <w:next w:val="1030"/>
    <w:link w:val="95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9"/>
    <w:basedOn w:val="950"/>
    <w:next w:val="1031"/>
    <w:link w:val="95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20"/>
    <w:basedOn w:val="950"/>
    <w:next w:val="1032"/>
    <w:link w:val="95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21"/>
    <w:basedOn w:val="950"/>
    <w:next w:val="1033"/>
    <w:link w:val="95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22"/>
    <w:basedOn w:val="950"/>
    <w:next w:val="1034"/>
    <w:link w:val="95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23"/>
    <w:basedOn w:val="950"/>
    <w:next w:val="1035"/>
    <w:link w:val="95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24"/>
    <w:basedOn w:val="950"/>
    <w:next w:val="1036"/>
    <w:link w:val="95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25"/>
    <w:basedOn w:val="950"/>
    <w:next w:val="1037"/>
    <w:link w:val="95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26"/>
    <w:basedOn w:val="950"/>
    <w:next w:val="1038"/>
    <w:link w:val="95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27"/>
    <w:basedOn w:val="950"/>
    <w:next w:val="1039"/>
    <w:link w:val="95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8"/>
    <w:basedOn w:val="950"/>
    <w:next w:val="1040"/>
    <w:link w:val="95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9"/>
    <w:basedOn w:val="950"/>
    <w:next w:val="1041"/>
    <w:link w:val="95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30"/>
    <w:basedOn w:val="950"/>
    <w:next w:val="1042"/>
    <w:link w:val="95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31"/>
    <w:basedOn w:val="950"/>
    <w:next w:val="1043"/>
    <w:link w:val="95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32"/>
    <w:basedOn w:val="950"/>
    <w:next w:val="1044"/>
    <w:link w:val="95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33"/>
    <w:basedOn w:val="950"/>
    <w:next w:val="1045"/>
    <w:link w:val="95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46">
    <w:name w:val="Неразрешенное упоминание"/>
    <w:next w:val="1046"/>
    <w:link w:val="95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47">
    <w:name w:val="Обычный (веб)"/>
    <w:basedOn w:val="950"/>
    <w:next w:val="1047"/>
    <w:link w:val="95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44</cp:revision>
  <dcterms:created xsi:type="dcterms:W3CDTF">2021-11-15T08:13:00Z</dcterms:created>
  <dcterms:modified xsi:type="dcterms:W3CDTF">2025-08-05T12:13:05Z</dcterms:modified>
  <cp:version>1048576</cp:version>
</cp:coreProperties>
</file>