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58"/>
        <w:pBdr/>
        <w:spacing w:after="0" w:line="240" w:lineRule="auto"/>
        <w:ind/>
        <w:jc w:val="right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___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_______ 20</w:t>
      </w:r>
      <w:r>
        <w:rPr>
          <w:rFonts w:ascii="Times New Roman" w:hAnsi="Times New Roman"/>
          <w:sz w:val="28"/>
          <w:szCs w:val="28"/>
          <w:highlight w:val="none"/>
        </w:rPr>
        <w:t xml:space="preserve">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ab/>
      </w:r>
      <w:r>
        <w:rPr>
          <w:rFonts w:ascii="Times New Roman" w:hAnsi="Times New Roman"/>
          <w:sz w:val="28"/>
          <w:szCs w:val="28"/>
          <w:highlight w:val="none"/>
        </w:rPr>
        <w:tab/>
        <w:tab/>
        <w:tab/>
        <w:tab/>
        <w:tab/>
        <w:tab/>
        <w:tab/>
        <w:tab/>
      </w:r>
      <w:r>
        <w:rPr>
          <w:rFonts w:ascii="Times New Roman" w:hAnsi="Times New Roman"/>
          <w:sz w:val="28"/>
          <w:szCs w:val="28"/>
          <w:highlight w:val="none"/>
        </w:rPr>
        <w:t xml:space="preserve">№ ___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/>
        <w:jc w:val="center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tabs>
          <w:tab w:val="left" w:leader="none" w:pos="3544"/>
        </w:tabs>
        <w:spacing w:after="0" w:line="240" w:lineRule="auto"/>
        <w:ind w:right="5386" w:firstLine="0" w:left="0"/>
        <w:jc w:val="both"/>
        <w:rPr>
          <w:highlight w:val="none"/>
        </w:rPr>
      </w:pPr>
      <w:r>
        <w:rPr>
          <w:highlight w:val="none"/>
        </w:rPr>
      </w:r>
      <w:bookmarkStart w:id="0" w:name="_Hlk92794410"/>
      <w:r>
        <w:rPr>
          <w:highlight w:val="none"/>
        </w:rPr>
      </w:r>
      <w:bookmarkStart w:id="1" w:name="_Hlk170484123"/>
      <w:r>
        <w:rPr>
          <w:rFonts w:ascii="Times New Roman" w:hAnsi="Times New Roman"/>
          <w:sz w:val="28"/>
          <w:szCs w:val="28"/>
          <w:highlight w:val="none"/>
        </w:rPr>
        <w:t xml:space="preserve">О внесении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нормативны</w:t>
      </w:r>
      <w:r>
        <w:rPr>
          <w:rFonts w:ascii="Times New Roman" w:hAnsi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затрат</w:t>
      </w:r>
      <w:r>
        <w:rPr>
          <w:rFonts w:ascii="Times New Roman" w:hAnsi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на государственные работы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выполняемые отдельными государственными учреждениями социокультурной сферы Республики Татарстан,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утвержденные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от 18.09.2024 </w:t>
      </w:r>
      <w:r>
        <w:rPr>
          <w:rFonts w:ascii="Times New Roman" w:hAnsi="Times New Roman"/>
          <w:sz w:val="28"/>
          <w:szCs w:val="28"/>
          <w:highlight w:val="none"/>
        </w:rPr>
        <w:t xml:space="preserve">№</w:t>
      </w:r>
      <w:r>
        <w:rPr>
          <w:rFonts w:ascii="Times New Roman" w:hAnsi="Times New Roman"/>
          <w:sz w:val="28"/>
          <w:szCs w:val="28"/>
          <w:highlight w:val="none"/>
        </w:rPr>
        <w:t xml:space="preserve"> 803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bookmarkEnd w:id="0"/>
      <w:r>
        <w:rPr>
          <w:highlight w:val="none"/>
        </w:rPr>
      </w:r>
      <w:r>
        <w:rPr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highlight w:val="none"/>
        </w:rPr>
      </w:r>
      <w:bookmarkEnd w:id="1"/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Кабинет Министров Республики Татарстан ПОСТАНОВЛЯЕТ: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Внести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нормативны</w:t>
      </w:r>
      <w:r>
        <w:rPr>
          <w:rFonts w:ascii="Times New Roman" w:hAnsi="Times New Roman"/>
          <w:sz w:val="28"/>
          <w:szCs w:val="28"/>
          <w:highlight w:val="none"/>
        </w:rPr>
        <w:t xml:space="preserve">е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затрат</w:t>
      </w:r>
      <w:r>
        <w:rPr>
          <w:rFonts w:ascii="Times New Roman" w:hAnsi="Times New Roman"/>
          <w:sz w:val="28"/>
          <w:szCs w:val="28"/>
          <w:highlight w:val="none"/>
        </w:rPr>
        <w:t xml:space="preserve">ы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на государственные работы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выполняемые отдельными государственными учреждениями социокультурной сферы Республики Татарстан, на 2025 год и на плановый период 2026 и 2027 годов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утвержденные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постановление</w:t>
      </w:r>
      <w:r>
        <w:rPr>
          <w:rFonts w:ascii="Times New Roman" w:hAnsi="Times New Roman"/>
          <w:sz w:val="28"/>
          <w:szCs w:val="28"/>
          <w:highlight w:val="none"/>
        </w:rPr>
        <w:t xml:space="preserve">м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Кабинета Министров Республики Татарстан от 18.09.2024 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 на 2025 год и на плановый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(с изменениями, внесенными постановлениями </w:t>
      </w:r>
      <w:r>
        <w:rPr>
          <w:rFonts w:ascii="Times New Roman" w:hAnsi="Times New Roman"/>
          <w:sz w:val="28"/>
          <w:szCs w:val="28"/>
          <w:highlight w:val="none"/>
        </w:rPr>
        <w:t xml:space="preserve">Кабинета Министров Республики 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от 12.05.2025 № 315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от 27.05.2025 № 363)</w:t>
      </w:r>
      <w:r>
        <w:rPr>
          <w:rFonts w:ascii="Times New Roman" w:hAnsi="Times New Roman"/>
          <w:sz w:val="28"/>
          <w:szCs w:val="28"/>
          <w:highlight w:val="none"/>
        </w:rPr>
        <w:t xml:space="preserve">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изменение,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заменив </w:t>
      </w:r>
      <w:r>
        <w:rPr>
          <w:rFonts w:ascii="Times New Roman" w:hAnsi="Times New Roman"/>
          <w:sz w:val="28"/>
          <w:szCs w:val="28"/>
          <w:highlight w:val="none"/>
        </w:rPr>
        <w:t xml:space="preserve">в графе 4 пункта 2.25 цифры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16 476 852,67</w:t>
      </w:r>
      <w:r>
        <w:rPr>
          <w:rFonts w:ascii="Times New Roman" w:hAnsi="Times New Roman"/>
          <w:sz w:val="28"/>
          <w:szCs w:val="28"/>
          <w:highlight w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</w:rPr>
        <w:t xml:space="preserve">10 309 847,33</w:t>
      </w:r>
      <w:r>
        <w:rPr>
          <w:rFonts w:ascii="Times New Roman" w:hAnsi="Times New Roman"/>
          <w:sz w:val="28"/>
          <w:szCs w:val="28"/>
          <w:highlight w:val="none"/>
        </w:rPr>
        <w:t xml:space="preserve">» цифрами «</w:t>
      </w:r>
      <w:r>
        <w:rPr>
          <w:rFonts w:ascii="Times New Roman" w:hAnsi="Times New Roman"/>
          <w:sz w:val="28"/>
          <w:szCs w:val="28"/>
          <w:highlight w:val="none"/>
        </w:rPr>
        <w:t xml:space="preserve">17 136 506,67</w:t>
      </w:r>
      <w:r>
        <w:rPr>
          <w:rFonts w:ascii="Times New Roman" w:hAnsi="Times New Roman"/>
          <w:sz w:val="28"/>
          <w:szCs w:val="28"/>
          <w:highlight w:val="none"/>
        </w:rPr>
        <w:t xml:space="preserve">», «</w:t>
      </w:r>
      <w:r>
        <w:rPr>
          <w:rFonts w:ascii="Times New Roman" w:hAnsi="Times New Roman"/>
          <w:sz w:val="28"/>
          <w:szCs w:val="28"/>
          <w:highlight w:val="none"/>
        </w:rPr>
        <w:t xml:space="preserve">10 731 593,33</w:t>
      </w:r>
      <w:r>
        <w:rPr>
          <w:rFonts w:ascii="Times New Roman" w:hAnsi="Times New Roman"/>
          <w:sz w:val="28"/>
          <w:szCs w:val="28"/>
          <w:highlight w:val="none"/>
        </w:rPr>
        <w:t xml:space="preserve">» соответственно.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  <w14:ligatures w14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sz w:val="28"/>
          <w:szCs w:val="28"/>
          <w:highlight w:val="none"/>
          <w14:ligatures w14:val="none"/>
        </w:rPr>
      </w:r>
    </w:p>
    <w:p>
      <w:pPr>
        <w:pStyle w:val="958"/>
        <w:pBdr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outlineLvl w:val="0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Премьер-министр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Республики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Татарстан</w:t>
      </w:r>
      <w:r>
        <w:rPr>
          <w:rFonts w:ascii="Times New Roman" w:hAnsi="Times New Roman"/>
          <w:sz w:val="28"/>
          <w:szCs w:val="28"/>
          <w:highlight w:val="none"/>
        </w:rPr>
        <w:t xml:space="preserve">                                                                                   А.В. Песошин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288" w:lineRule="auto"/>
        <w:ind w:right="-1"/>
        <w:jc w:val="both"/>
        <w:rPr>
          <w:rFonts w:ascii="Times New Roman" w:hAnsi="Times New Roman"/>
          <w:sz w:val="28"/>
          <w:szCs w:val="28"/>
          <w:highlight w:val="none"/>
        </w:rPr>
        <w:sectPr>
          <w:headerReference w:type="default" r:id="rId9"/>
          <w:footnotePr/>
          <w:endnotePr/>
          <w:type w:val="nextPage"/>
          <w:pgSz w:h="16838" w:orient="portrait" w:w="11906"/>
          <w:pgMar w:top="1134" w:right="567" w:bottom="1134" w:left="1134" w:header="709" w:footer="130" w:gutter="0"/>
          <w:pgNumType w:start="1"/>
          <w:cols w:num="1" w:sep="0" w:space="708" w:equalWidth="1"/>
          <w:titlePg/>
        </w:sect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ПОЯСНИТЕЛЬНАЯ ЗАПИСКА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к проекту постановления Кабинета Министров Республики Татарстан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/>
        <w:jc w:val="center"/>
        <w:rPr>
          <w:rFonts w:ascii="Times New Roman" w:hAnsi="Times New Roman"/>
          <w:b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О внесении изменения в нормативные затраты на государственные работы, выполняемые отдельными государственными учреждениями социокультурной сферы Республики Татарстан, на 2025 год и на плановый период 2026 и 2027 годов, утвержденные постановлением Кабинета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Министров Республики Татарстан от 18.09.2024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2025 год и на плановый</w:t>
      </w:r>
      <w:r>
        <w:rPr>
          <w:rFonts w:ascii="Times New Roman" w:hAnsi="Times New Roman"/>
          <w:b/>
          <w:sz w:val="28"/>
          <w:szCs w:val="28"/>
          <w:highlight w:val="none"/>
        </w:rPr>
        <w:t xml:space="preserve"> период 2026 и 2027 годов»</w:t>
      </w:r>
      <w:r>
        <w:rPr>
          <w:rFonts w:ascii="Times New Roman" w:hAnsi="Times New Roman"/>
          <w:b/>
          <w:sz w:val="28"/>
          <w:szCs w:val="28"/>
          <w:highlight w:val="none"/>
        </w:rPr>
      </w:r>
      <w:r>
        <w:rPr>
          <w:rFonts w:ascii="Times New Roman" w:hAnsi="Times New Roman"/>
          <w:b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 постановления Кабинета Министров Республики Татарстан «</w:t>
      </w:r>
      <w:r>
        <w:rPr>
          <w:rFonts w:ascii="Times New Roman" w:hAnsi="Times New Roman"/>
          <w:sz w:val="28"/>
          <w:szCs w:val="28"/>
          <w:highlight w:val="none"/>
        </w:rPr>
        <w:t xml:space="preserve">О внесении изменения в нормативные затраты на государственные работы, выполняемые отдельными государственными учреждениями социокультурной сферы Республики Татарстан, на 2025 год и на плановый период 2026 и 2027 годов, утвержденные постановлением Кабинета</w:t>
      </w:r>
      <w:r>
        <w:rPr>
          <w:rFonts w:ascii="Times New Roman" w:hAnsi="Times New Roman"/>
          <w:sz w:val="28"/>
          <w:szCs w:val="28"/>
          <w:highlight w:val="none"/>
        </w:rPr>
        <w:t xml:space="preserve"> Министров Республики Татарстан от 18.09.2024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№ 803 «Об утверждении нормативных затрат на государственные работы, услуги и объемов государственных услуг отдельных государственных учреждений социокультурной сферы Республики Татарстан на 2025 год и на плановый</w:t>
      </w:r>
      <w:r>
        <w:rPr>
          <w:rFonts w:ascii="Times New Roman" w:hAnsi="Times New Roman"/>
          <w:sz w:val="28"/>
          <w:szCs w:val="28"/>
          <w:highlight w:val="none"/>
        </w:rPr>
        <w:t xml:space="preserve"> период 2026 и 2027 годов»</w:t>
      </w:r>
      <w:r>
        <w:rPr>
          <w:rFonts w:ascii="Times New Roman" w:hAnsi="Times New Roman"/>
          <w:sz w:val="28"/>
          <w:szCs w:val="28"/>
          <w:highlight w:val="none"/>
        </w:rPr>
        <w:t xml:space="preserve"> разработан</w:t>
      </w:r>
      <w:r>
        <w:rPr>
          <w:rFonts w:ascii="Times New Roman" w:hAnsi="Times New Roman"/>
          <w:sz w:val="28"/>
          <w:szCs w:val="28"/>
          <w:highlight w:val="none"/>
        </w:rPr>
        <w:t xml:space="preserve"> во исполнение пункта 2 распоряжения Кабинета Министров Республики Татарстан от 10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  <w:t xml:space="preserve">0</w:t>
      </w:r>
      <w:r>
        <w:rPr>
          <w:rFonts w:ascii="Times New Roman" w:hAnsi="Times New Roman"/>
          <w:sz w:val="28"/>
          <w:szCs w:val="28"/>
          <w:highlight w:val="none"/>
        </w:rPr>
        <w:t xml:space="preserve">7</w:t>
      </w:r>
      <w:r>
        <w:rPr>
          <w:rFonts w:ascii="Times New Roman" w:hAnsi="Times New Roman"/>
          <w:sz w:val="28"/>
          <w:szCs w:val="28"/>
          <w:highlight w:val="none"/>
        </w:rPr>
        <w:t xml:space="preserve">.202</w:t>
      </w:r>
      <w:r>
        <w:rPr>
          <w:rFonts w:ascii="Times New Roman" w:hAnsi="Times New Roman"/>
          <w:sz w:val="28"/>
          <w:szCs w:val="28"/>
          <w:highlight w:val="none"/>
        </w:rPr>
        <w:t xml:space="preserve">5</w:t>
      </w:r>
      <w:r>
        <w:rPr>
          <w:rFonts w:ascii="Times New Roman" w:hAnsi="Times New Roman"/>
          <w:sz w:val="28"/>
          <w:szCs w:val="28"/>
          <w:highlight w:val="none"/>
        </w:rPr>
        <w:t xml:space="preserve"> № 1530</w:t>
      </w:r>
      <w:r>
        <w:rPr>
          <w:rFonts w:ascii="Times New Roman" w:hAnsi="Times New Roman"/>
          <w:sz w:val="28"/>
          <w:szCs w:val="28"/>
          <w:highlight w:val="none"/>
        </w:rPr>
        <w:t xml:space="preserve">-р о предоставлении субсидии государственному </w:t>
      </w:r>
      <w:r>
        <w:rPr>
          <w:rFonts w:ascii="Times New Roman" w:hAnsi="Times New Roman"/>
          <w:sz w:val="28"/>
          <w:szCs w:val="28"/>
          <w:highlight w:val="none"/>
        </w:rPr>
        <w:t xml:space="preserve">бюджетному учреждению «Культурный центр имени А.С.Пушкина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(далее – Г</w:t>
      </w:r>
      <w:r>
        <w:rPr>
          <w:rFonts w:ascii="Times New Roman" w:hAnsi="Times New Roman"/>
          <w:sz w:val="28"/>
          <w:szCs w:val="28"/>
          <w:highlight w:val="none"/>
        </w:rPr>
        <w:t xml:space="preserve">БУ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«</w:t>
      </w:r>
      <w:r>
        <w:rPr>
          <w:rFonts w:ascii="Times New Roman" w:hAnsi="Times New Roman"/>
          <w:sz w:val="28"/>
          <w:szCs w:val="28"/>
          <w:highlight w:val="none"/>
        </w:rPr>
        <w:t xml:space="preserve">КЦ </w:t>
      </w:r>
      <w:r>
        <w:rPr>
          <w:rFonts w:ascii="Times New Roman" w:hAnsi="Times New Roman"/>
          <w:sz w:val="28"/>
          <w:szCs w:val="28"/>
          <w:highlight w:val="none"/>
        </w:rPr>
        <w:t xml:space="preserve">им. А.С.Пушкина</w:t>
      </w:r>
      <w:r>
        <w:rPr>
          <w:rFonts w:ascii="Times New Roman" w:hAnsi="Times New Roman"/>
          <w:sz w:val="28"/>
          <w:szCs w:val="28"/>
          <w:highlight w:val="none"/>
        </w:rPr>
        <w:t xml:space="preserve">»</w:t>
      </w:r>
      <w:r>
        <w:rPr>
          <w:rFonts w:ascii="Times New Roman" w:hAnsi="Times New Roman"/>
          <w:sz w:val="28"/>
          <w:szCs w:val="28"/>
          <w:highlight w:val="none"/>
        </w:rPr>
        <w:t xml:space="preserve">)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в связи закреплением на праве оперативного управления здания, находящегося по адресу: Республика Татарстан, г.Казань, ул.Максима Горького, д.17А, и передачей на праве постоянного (бессрочного) пользования земельного участка по указанному адресу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Проектом постановления Кабинета Министров Республики Татарстан внос</w:t>
      </w:r>
      <w:r>
        <w:rPr>
          <w:rFonts w:ascii="Times New Roman" w:hAnsi="Times New Roman"/>
          <w:sz w:val="28"/>
          <w:szCs w:val="28"/>
          <w:highlight w:val="none"/>
        </w:rPr>
        <w:t xml:space="preserve">ится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изменение в части корректировки </w:t>
      </w:r>
      <w:r>
        <w:rPr>
          <w:rFonts w:ascii="Times New Roman" w:hAnsi="Times New Roman"/>
          <w:sz w:val="28"/>
          <w:szCs w:val="28"/>
          <w:highlight w:val="none"/>
        </w:rPr>
        <w:t xml:space="preserve">нормативны</w:t>
      </w:r>
      <w:r>
        <w:rPr>
          <w:rFonts w:ascii="Times New Roman" w:hAnsi="Times New Roman"/>
          <w:sz w:val="28"/>
          <w:szCs w:val="28"/>
          <w:highlight w:val="none"/>
        </w:rPr>
        <w:t xml:space="preserve">х затрат</w:t>
      </w:r>
      <w:r>
        <w:rPr>
          <w:rFonts w:ascii="Times New Roman" w:hAnsi="Times New Roman"/>
          <w:sz w:val="28"/>
          <w:szCs w:val="28"/>
          <w:highlight w:val="none"/>
        </w:rPr>
        <w:t xml:space="preserve"> на </w:t>
      </w:r>
      <w:r>
        <w:rPr>
          <w:rFonts w:ascii="Times New Roman" w:hAnsi="Times New Roman"/>
          <w:sz w:val="28"/>
          <w:szCs w:val="28"/>
          <w:highlight w:val="none"/>
        </w:rPr>
        <w:t xml:space="preserve">государственные</w:t>
      </w:r>
      <w:r>
        <w:rPr>
          <w:rFonts w:ascii="Times New Roman" w:hAnsi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/>
          <w:sz w:val="28"/>
          <w:szCs w:val="28"/>
          <w:highlight w:val="none"/>
        </w:rPr>
        <w:t xml:space="preserve">работы</w:t>
      </w:r>
      <w:r>
        <w:rPr>
          <w:rFonts w:ascii="Times New Roman" w:hAnsi="Times New Roman"/>
          <w:sz w:val="28"/>
          <w:szCs w:val="28"/>
          <w:highlight w:val="none"/>
        </w:rPr>
        <w:t xml:space="preserve">, </w:t>
      </w:r>
      <w:r>
        <w:rPr>
          <w:rFonts w:ascii="Times New Roman" w:hAnsi="Times New Roman"/>
          <w:sz w:val="28"/>
          <w:szCs w:val="28"/>
          <w:highlight w:val="none"/>
        </w:rPr>
        <w:t xml:space="preserve">выполняемы</w:t>
      </w:r>
      <w:r>
        <w:rPr>
          <w:rFonts w:ascii="Times New Roman" w:hAnsi="Times New Roman"/>
          <w:sz w:val="28"/>
          <w:szCs w:val="28"/>
          <w:highlight w:val="none"/>
        </w:rPr>
        <w:t xml:space="preserve">е </w:t>
      </w:r>
      <w:r>
        <w:rPr>
          <w:rFonts w:ascii="Times New Roman" w:hAnsi="Times New Roman"/>
          <w:sz w:val="28"/>
          <w:szCs w:val="28"/>
          <w:highlight w:val="none"/>
        </w:rPr>
        <w:t xml:space="preserve">ГБУ «КЦ им. А.С.Пушкина»</w:t>
      </w:r>
      <w:r>
        <w:rPr>
          <w:rFonts w:ascii="Times New Roman" w:hAnsi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pStyle w:val="958"/>
        <w:pBdr/>
        <w:spacing w:after="0" w:line="312" w:lineRule="auto"/>
        <w:ind w:firstLine="708"/>
        <w:jc w:val="both"/>
        <w:rPr/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Принятие данного проекта постановления не потребует выделения дополнительных средств из бюджета Республики Татарстан.</w:t>
      </w:r>
      <w:r/>
    </w:p>
    <w:p>
      <w:pPr>
        <w:pStyle w:val="958"/>
        <w:pBdr/>
        <w:spacing w:after="0" w:line="312" w:lineRule="auto"/>
        <w:ind w:firstLine="708"/>
        <w:jc w:val="both"/>
        <w:rPr/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Отсутствует необходимость в проведении оценки регулирующего воздействия проекта постановления Кабинета Министров Республики Татарстан.</w:t>
      </w:r>
      <w:r/>
    </w:p>
    <w:p>
      <w:pPr>
        <w:pStyle w:val="958"/>
        <w:pBdr/>
        <w:spacing w:after="0" w:line="312" w:lineRule="auto"/>
        <w:ind w:firstLine="708"/>
        <w:jc w:val="both"/>
        <w:rPr>
          <w:rFonts w:ascii="Times New Roman" w:hAnsi="Times New Roman" w:cs="Arial"/>
          <w:sz w:val="28"/>
          <w:szCs w:val="28"/>
          <w:highlight w:val="none"/>
        </w:rPr>
      </w:pPr>
      <w:r>
        <w:rPr>
          <w:rFonts w:ascii="Times New Roman" w:hAnsi="Times New Roman" w:cs="Arial"/>
          <w:sz w:val="28"/>
          <w:szCs w:val="28"/>
          <w:highlight w:val="none"/>
        </w:rPr>
        <w:t xml:space="preserve">По итогам независимой антикоррупционной экспертизы проекта постановления Кабинета Министров Республики Татарстан заключений не поступало.</w:t>
      </w:r>
      <w:r>
        <w:rPr>
          <w:rFonts w:ascii="Times New Roman" w:hAnsi="Times New Roman" w:cs="Arial"/>
          <w:sz w:val="28"/>
          <w:szCs w:val="28"/>
          <w:highlight w:val="none"/>
        </w:rPr>
      </w:r>
      <w:r>
        <w:rPr>
          <w:rFonts w:ascii="Times New Roman" w:hAnsi="Times New Roman" w:cs="Arial"/>
          <w:sz w:val="28"/>
          <w:szCs w:val="28"/>
          <w:highlight w:val="none"/>
        </w:rPr>
      </w:r>
    </w:p>
    <w:p>
      <w:pPr>
        <w:pStyle w:val="958"/>
        <w:pBdr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sectPr>
      <w:headerReference w:type="default" r:id="rId10"/>
      <w:footnotePr/>
      <w:endnotePr/>
      <w:type w:val="nextPage"/>
      <w:pgSz w:h="16838" w:orient="portrait" w:w="11906"/>
      <w:pgMar w:top="1134" w:right="567" w:bottom="1134" w:left="1134" w:header="709" w:footer="130" w:gutter="0"/>
      <w:pgNumType w:start="1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65"/>
      <w:pBdr/>
      <w:spacing/>
      <w:ind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65"/>
      <w:pBdr/>
      <w:spacing/>
      <w:ind/>
      <w:jc w:val="center"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720" w:left="1440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720" w:left="1800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1080" w:left="2520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1080" w:left="2880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1440" w:left="3600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800" w:left="432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800" w:left="4680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2160" w:left="540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106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8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8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1">
    <w:lvl w:ilvl="0">
      <w:isLgl w:val="false"/>
      <w:lvlJc w:val="left"/>
      <w:lvlText w:val="%1"/>
      <w:numFmt w:val="decimal"/>
      <w:pPr>
        <w:pBdr/>
        <w:spacing/>
        <w:ind w:hanging="360" w:left="1211"/>
      </w:pPr>
      <w:rPr/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78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0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2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4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6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38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0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29"/>
      </w:pPr>
      <w:rPr/>
      <w:start w:val="1"/>
      <w:suff w:val="tab"/>
    </w:lvl>
  </w:abstractNum>
  <w:abstractNum w:abstractNumId="15">
    <w:lvl w:ilvl="0">
      <w:isLgl w:val="false"/>
      <w:lvlJc w:val="left"/>
      <w:lvlText w:val="%1."/>
      <w:numFmt w:val="decimal"/>
      <w:pPr>
        <w:pBdr/>
        <w:spacing/>
        <w:ind w:hanging="36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0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2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24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96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68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0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2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840"/>
      </w:pPr>
      <w:rPr/>
      <w:start w:val="1"/>
      <w:suff w:val="tab"/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7"/>
  </w:num>
  <w:num w:numId="8">
    <w:abstractNumId w:val="13"/>
  </w:num>
  <w:num w:numId="9">
    <w:abstractNumId w:val="11"/>
  </w:num>
  <w:num w:numId="10">
    <w:abstractNumId w:val="12"/>
  </w:num>
  <w:num w:numId="11">
    <w:abstractNumId w:val="14"/>
  </w:num>
  <w:num w:numId="12">
    <w:abstractNumId w:val="2"/>
  </w:num>
  <w:num w:numId="13">
    <w:abstractNumId w:val="0"/>
  </w:num>
  <w:num w:numId="14">
    <w:abstractNumId w:val="15"/>
  </w:num>
  <w:num w:numId="15">
    <w:abstractNumId w:val="8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69">
    <w:name w:val="Placeholder Text"/>
    <w:basedOn w:val="906"/>
    <w:uiPriority w:val="99"/>
    <w:semiHidden/>
    <w:pPr>
      <w:pBdr/>
      <w:spacing/>
      <w:ind/>
    </w:pPr>
    <w:rPr>
      <w:color w:val="666666"/>
    </w:rPr>
  </w:style>
  <w:style w:type="table" w:styleId="77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Table Grid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Table Grid Light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1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2"/>
    <w:basedOn w:val="77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Plain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Plain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Plain Table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1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2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3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4 - Accent 4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4 - Accent 5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 - Accent 6"/>
    <w:basedOn w:val="77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5 Dark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1 Light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1 Light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2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2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3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3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4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4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5 Dark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5 Dark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6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6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7 Colorful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7 Colorful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1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2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3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&amp; Lined - Accent 4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&amp; Lined - Accent 5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&amp; Lined - Accent 6"/>
    <w:basedOn w:val="77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1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2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3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Bordered - Accent 4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Bordered - Accent 5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Bordered - Accent 6"/>
    <w:basedOn w:val="77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7">
    <w:name w:val="Heading 1"/>
    <w:basedOn w:val="958"/>
    <w:next w:val="958"/>
    <w:link w:val="90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8">
    <w:name w:val="Heading 2"/>
    <w:basedOn w:val="958"/>
    <w:next w:val="958"/>
    <w:link w:val="909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9">
    <w:name w:val="Heading 3"/>
    <w:basedOn w:val="958"/>
    <w:next w:val="958"/>
    <w:link w:val="910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900">
    <w:name w:val="Heading 4"/>
    <w:basedOn w:val="958"/>
    <w:next w:val="958"/>
    <w:link w:val="911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01">
    <w:name w:val="Heading 5"/>
    <w:basedOn w:val="958"/>
    <w:next w:val="958"/>
    <w:link w:val="912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902">
    <w:name w:val="Heading 6"/>
    <w:basedOn w:val="958"/>
    <w:next w:val="958"/>
    <w:link w:val="913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3">
    <w:name w:val="Heading 7"/>
    <w:basedOn w:val="958"/>
    <w:next w:val="958"/>
    <w:link w:val="914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4">
    <w:name w:val="Heading 8"/>
    <w:basedOn w:val="958"/>
    <w:next w:val="958"/>
    <w:link w:val="915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5">
    <w:name w:val="Heading 9"/>
    <w:basedOn w:val="958"/>
    <w:next w:val="958"/>
    <w:link w:val="916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6" w:default="1">
    <w:name w:val="Default Paragraph Font"/>
    <w:uiPriority w:val="1"/>
    <w:semiHidden/>
    <w:unhideWhenUsed/>
    <w:pPr>
      <w:pBdr/>
      <w:spacing/>
      <w:ind/>
    </w:pPr>
  </w:style>
  <w:style w:type="numbering" w:styleId="907" w:default="1">
    <w:name w:val="No List"/>
    <w:uiPriority w:val="99"/>
    <w:semiHidden/>
    <w:unhideWhenUsed/>
    <w:pPr>
      <w:pBdr/>
      <w:spacing/>
      <w:ind/>
    </w:pPr>
  </w:style>
  <w:style w:type="character" w:styleId="908">
    <w:name w:val="Heading 1 Char"/>
    <w:basedOn w:val="906"/>
    <w:link w:val="8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9">
    <w:name w:val="Heading 2 Char"/>
    <w:basedOn w:val="906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10">
    <w:name w:val="Heading 3 Char"/>
    <w:basedOn w:val="906"/>
    <w:link w:val="8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11">
    <w:name w:val="Heading 4 Char"/>
    <w:basedOn w:val="906"/>
    <w:link w:val="90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12">
    <w:name w:val="Heading 5 Char"/>
    <w:basedOn w:val="906"/>
    <w:link w:val="9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13">
    <w:name w:val="Heading 6 Char"/>
    <w:basedOn w:val="906"/>
    <w:link w:val="90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14">
    <w:name w:val="Heading 7 Char"/>
    <w:basedOn w:val="906"/>
    <w:link w:val="90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5">
    <w:name w:val="Heading 8 Char"/>
    <w:basedOn w:val="906"/>
    <w:link w:val="90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6">
    <w:name w:val="Heading 9 Char"/>
    <w:basedOn w:val="906"/>
    <w:link w:val="90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7">
    <w:name w:val="Title"/>
    <w:basedOn w:val="958"/>
    <w:next w:val="958"/>
    <w:link w:val="918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8">
    <w:name w:val="Title Char"/>
    <w:basedOn w:val="906"/>
    <w:link w:val="91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9">
    <w:name w:val="Subtitle"/>
    <w:basedOn w:val="958"/>
    <w:next w:val="958"/>
    <w:link w:val="920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20">
    <w:name w:val="Subtitle Char"/>
    <w:basedOn w:val="906"/>
    <w:link w:val="91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21">
    <w:name w:val="Quote"/>
    <w:basedOn w:val="958"/>
    <w:next w:val="958"/>
    <w:link w:val="92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22">
    <w:name w:val="Quote Char"/>
    <w:basedOn w:val="906"/>
    <w:link w:val="92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23">
    <w:name w:val="List Paragraph"/>
    <w:basedOn w:val="958"/>
    <w:uiPriority w:val="34"/>
    <w:qFormat/>
    <w:pPr>
      <w:pBdr/>
      <w:spacing/>
      <w:ind w:left="720"/>
      <w:contextualSpacing w:val="true"/>
    </w:pPr>
  </w:style>
  <w:style w:type="character" w:styleId="924">
    <w:name w:val="Intense Emphasis"/>
    <w:basedOn w:val="90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5">
    <w:name w:val="Intense Quote"/>
    <w:basedOn w:val="958"/>
    <w:next w:val="958"/>
    <w:link w:val="9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6">
    <w:name w:val="Intense Quote Char"/>
    <w:basedOn w:val="906"/>
    <w:link w:val="9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7">
    <w:name w:val="Intense Reference"/>
    <w:basedOn w:val="90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8">
    <w:name w:val="No Spacing"/>
    <w:basedOn w:val="958"/>
    <w:uiPriority w:val="1"/>
    <w:qFormat/>
    <w:pPr>
      <w:pBdr/>
      <w:spacing w:after="0" w:line="240" w:lineRule="auto"/>
      <w:ind/>
    </w:pPr>
  </w:style>
  <w:style w:type="character" w:styleId="929">
    <w:name w:val="Subtle Emphasis"/>
    <w:basedOn w:val="90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30">
    <w:name w:val="Emphasis"/>
    <w:basedOn w:val="906"/>
    <w:uiPriority w:val="20"/>
    <w:qFormat/>
    <w:pPr>
      <w:pBdr/>
      <w:spacing/>
      <w:ind/>
    </w:pPr>
    <w:rPr>
      <w:i/>
      <w:iCs/>
    </w:rPr>
  </w:style>
  <w:style w:type="character" w:styleId="931">
    <w:name w:val="Strong"/>
    <w:basedOn w:val="906"/>
    <w:uiPriority w:val="22"/>
    <w:qFormat/>
    <w:pPr>
      <w:pBdr/>
      <w:spacing/>
      <w:ind/>
    </w:pPr>
    <w:rPr>
      <w:b/>
      <w:bCs/>
    </w:rPr>
  </w:style>
  <w:style w:type="character" w:styleId="932">
    <w:name w:val="Subtle Reference"/>
    <w:basedOn w:val="90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33">
    <w:name w:val="Book Title"/>
    <w:basedOn w:val="90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34">
    <w:name w:val="Header"/>
    <w:basedOn w:val="958"/>
    <w:link w:val="9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5">
    <w:name w:val="Header Char"/>
    <w:basedOn w:val="906"/>
    <w:link w:val="934"/>
    <w:uiPriority w:val="99"/>
    <w:pPr>
      <w:pBdr/>
      <w:spacing/>
      <w:ind/>
    </w:pPr>
  </w:style>
  <w:style w:type="paragraph" w:styleId="936">
    <w:name w:val="Footer"/>
    <w:basedOn w:val="958"/>
    <w:link w:val="9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937">
    <w:name w:val="Footer Char"/>
    <w:basedOn w:val="906"/>
    <w:link w:val="936"/>
    <w:uiPriority w:val="99"/>
    <w:pPr>
      <w:pBdr/>
      <w:spacing/>
      <w:ind/>
    </w:pPr>
  </w:style>
  <w:style w:type="paragraph" w:styleId="938">
    <w:name w:val="Caption"/>
    <w:basedOn w:val="958"/>
    <w:next w:val="95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9">
    <w:name w:val="footnote text"/>
    <w:basedOn w:val="958"/>
    <w:link w:val="9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0">
    <w:name w:val="Footnote Text Char"/>
    <w:basedOn w:val="906"/>
    <w:link w:val="939"/>
    <w:uiPriority w:val="99"/>
    <w:semiHidden/>
    <w:pPr>
      <w:pBdr/>
      <w:spacing/>
      <w:ind/>
    </w:pPr>
    <w:rPr>
      <w:sz w:val="20"/>
      <w:szCs w:val="20"/>
    </w:rPr>
  </w:style>
  <w:style w:type="character" w:styleId="941">
    <w:name w:val="foot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paragraph" w:styleId="942">
    <w:name w:val="endnote text"/>
    <w:basedOn w:val="958"/>
    <w:link w:val="9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3">
    <w:name w:val="Endnote Text Char"/>
    <w:basedOn w:val="906"/>
    <w:link w:val="942"/>
    <w:uiPriority w:val="99"/>
    <w:semiHidden/>
    <w:pPr>
      <w:pBdr/>
      <w:spacing/>
      <w:ind/>
    </w:pPr>
    <w:rPr>
      <w:sz w:val="20"/>
      <w:szCs w:val="20"/>
    </w:rPr>
  </w:style>
  <w:style w:type="character" w:styleId="944">
    <w:name w:val="endnote reference"/>
    <w:basedOn w:val="906"/>
    <w:uiPriority w:val="99"/>
    <w:semiHidden/>
    <w:unhideWhenUsed/>
    <w:pPr>
      <w:pBdr/>
      <w:spacing/>
      <w:ind/>
    </w:pPr>
    <w:rPr>
      <w:vertAlign w:val="superscript"/>
    </w:rPr>
  </w:style>
  <w:style w:type="character" w:styleId="945">
    <w:name w:val="Hyperlink"/>
    <w:basedOn w:val="90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46">
    <w:name w:val="FollowedHyperlink"/>
    <w:basedOn w:val="90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7">
    <w:name w:val="toc 1"/>
    <w:basedOn w:val="958"/>
    <w:next w:val="958"/>
    <w:uiPriority w:val="39"/>
    <w:unhideWhenUsed/>
    <w:pPr>
      <w:pBdr/>
      <w:spacing w:after="100"/>
      <w:ind/>
    </w:pPr>
  </w:style>
  <w:style w:type="paragraph" w:styleId="948">
    <w:name w:val="toc 2"/>
    <w:basedOn w:val="958"/>
    <w:next w:val="958"/>
    <w:uiPriority w:val="39"/>
    <w:unhideWhenUsed/>
    <w:pPr>
      <w:pBdr/>
      <w:spacing w:after="100"/>
      <w:ind w:left="220"/>
    </w:pPr>
  </w:style>
  <w:style w:type="paragraph" w:styleId="949">
    <w:name w:val="toc 3"/>
    <w:basedOn w:val="958"/>
    <w:next w:val="958"/>
    <w:uiPriority w:val="39"/>
    <w:unhideWhenUsed/>
    <w:pPr>
      <w:pBdr/>
      <w:spacing w:after="100"/>
      <w:ind w:left="440"/>
    </w:pPr>
  </w:style>
  <w:style w:type="paragraph" w:styleId="950">
    <w:name w:val="toc 4"/>
    <w:basedOn w:val="958"/>
    <w:next w:val="958"/>
    <w:uiPriority w:val="39"/>
    <w:unhideWhenUsed/>
    <w:pPr>
      <w:pBdr/>
      <w:spacing w:after="100"/>
      <w:ind w:left="660"/>
    </w:pPr>
  </w:style>
  <w:style w:type="paragraph" w:styleId="951">
    <w:name w:val="toc 5"/>
    <w:basedOn w:val="958"/>
    <w:next w:val="958"/>
    <w:uiPriority w:val="39"/>
    <w:unhideWhenUsed/>
    <w:pPr>
      <w:pBdr/>
      <w:spacing w:after="100"/>
      <w:ind w:left="880"/>
    </w:pPr>
  </w:style>
  <w:style w:type="paragraph" w:styleId="952">
    <w:name w:val="toc 6"/>
    <w:basedOn w:val="958"/>
    <w:next w:val="958"/>
    <w:uiPriority w:val="39"/>
    <w:unhideWhenUsed/>
    <w:pPr>
      <w:pBdr/>
      <w:spacing w:after="100"/>
      <w:ind w:left="1100"/>
    </w:pPr>
  </w:style>
  <w:style w:type="paragraph" w:styleId="953">
    <w:name w:val="toc 7"/>
    <w:basedOn w:val="958"/>
    <w:next w:val="958"/>
    <w:uiPriority w:val="39"/>
    <w:unhideWhenUsed/>
    <w:pPr>
      <w:pBdr/>
      <w:spacing w:after="100"/>
      <w:ind w:left="1320"/>
    </w:pPr>
  </w:style>
  <w:style w:type="paragraph" w:styleId="954">
    <w:name w:val="toc 8"/>
    <w:basedOn w:val="958"/>
    <w:next w:val="958"/>
    <w:uiPriority w:val="39"/>
    <w:unhideWhenUsed/>
    <w:pPr>
      <w:pBdr/>
      <w:spacing w:after="100"/>
      <w:ind w:left="1540"/>
    </w:pPr>
  </w:style>
  <w:style w:type="paragraph" w:styleId="955">
    <w:name w:val="toc 9"/>
    <w:basedOn w:val="958"/>
    <w:next w:val="958"/>
    <w:uiPriority w:val="39"/>
    <w:unhideWhenUsed/>
    <w:pPr>
      <w:pBdr/>
      <w:spacing w:after="100"/>
      <w:ind w:left="1760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table of figures"/>
    <w:basedOn w:val="958"/>
    <w:next w:val="958"/>
    <w:uiPriority w:val="99"/>
    <w:unhideWhenUsed/>
    <w:pPr>
      <w:pBdr/>
      <w:spacing w:after="0" w:afterAutospacing="0"/>
      <w:ind/>
    </w:pPr>
  </w:style>
  <w:style w:type="paragraph" w:styleId="958" w:default="1">
    <w:name w:val="Normal"/>
    <w:next w:val="958"/>
    <w:link w:val="958"/>
    <w:qFormat/>
    <w:pPr>
      <w:pBdr/>
      <w:spacing w:after="200" w:line="276" w:lineRule="auto"/>
      <w:ind/>
    </w:pPr>
    <w:rPr>
      <w:sz w:val="22"/>
      <w:szCs w:val="22"/>
      <w:lang w:val="ru-RU" w:eastAsia="en-US" w:bidi="ar-SA"/>
    </w:rPr>
  </w:style>
  <w:style w:type="character" w:styleId="959">
    <w:name w:val="Основной шрифт абзаца"/>
    <w:next w:val="959"/>
    <w:link w:val="958"/>
    <w:uiPriority w:val="1"/>
    <w:unhideWhenUsed/>
    <w:pPr>
      <w:pBdr/>
      <w:spacing/>
      <w:ind/>
    </w:pPr>
  </w:style>
  <w:style w:type="table" w:styleId="960">
    <w:name w:val="Обычная таблица"/>
    <w:next w:val="960"/>
    <w:link w:val="958"/>
    <w:uiPriority w:val="99"/>
    <w:semiHidden/>
    <w:unhideWhenUsed/>
    <w:qFormat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61">
    <w:name w:val="Нет списка"/>
    <w:next w:val="961"/>
    <w:link w:val="958"/>
    <w:uiPriority w:val="99"/>
    <w:semiHidden/>
    <w:unhideWhenUsed/>
    <w:pPr>
      <w:pBdr/>
      <w:spacing/>
      <w:ind/>
    </w:pPr>
  </w:style>
  <w:style w:type="paragraph" w:styleId="962">
    <w:name w:val="Абзац списка"/>
    <w:basedOn w:val="958"/>
    <w:next w:val="962"/>
    <w:link w:val="958"/>
    <w:uiPriority w:val="34"/>
    <w:qFormat/>
    <w:pPr>
      <w:pBdr/>
      <w:spacing/>
      <w:ind w:left="720"/>
      <w:contextualSpacing w:val="true"/>
    </w:pPr>
  </w:style>
  <w:style w:type="table" w:styleId="963">
    <w:name w:val="Сетка таблицы"/>
    <w:basedOn w:val="960"/>
    <w:next w:val="963"/>
    <w:link w:val="958"/>
    <w:uiPriority w:val="59"/>
    <w:pPr>
      <w:pBdr/>
      <w:spacing w:after="0" w:line="240" w:lineRule="auto"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64">
    <w:name w:val="ConsPlusNormal"/>
    <w:next w:val="964"/>
    <w:link w:val="958"/>
    <w:pPr>
      <w:widowControl w:val="false"/>
      <w:pBdr/>
      <w:spacing/>
      <w:ind w:firstLine="720"/>
    </w:pPr>
    <w:rPr>
      <w:rFonts w:ascii="Arial" w:hAnsi="Arial" w:eastAsia="Times New Roman" w:cs="Arial"/>
      <w:lang w:val="ru-RU" w:eastAsia="ru-RU" w:bidi="ar-SA"/>
    </w:rPr>
  </w:style>
  <w:style w:type="paragraph" w:styleId="965">
    <w:name w:val="Верхний колонтитул"/>
    <w:basedOn w:val="958"/>
    <w:next w:val="965"/>
    <w:link w:val="966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  <w:rPr>
      <w:sz w:val="20"/>
      <w:szCs w:val="20"/>
      <w:lang w:val="en-US" w:eastAsia="en-US"/>
    </w:rPr>
  </w:style>
  <w:style w:type="character" w:styleId="966">
    <w:name w:val="Верхний колонтитул Знак"/>
    <w:next w:val="966"/>
    <w:link w:val="965"/>
    <w:uiPriority w:val="99"/>
    <w:pPr>
      <w:pBdr/>
      <w:spacing/>
      <w:ind/>
    </w:pPr>
    <w:rPr>
      <w:rFonts w:ascii="Calibri" w:hAnsi="Calibri" w:eastAsia="Calibri" w:cs="Times New Roman"/>
    </w:rPr>
  </w:style>
  <w:style w:type="paragraph" w:styleId="967">
    <w:name w:val="Нижний колонтитул"/>
    <w:basedOn w:val="958"/>
    <w:next w:val="967"/>
    <w:link w:val="968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968">
    <w:name w:val="Нижний колонтитул Знак"/>
    <w:basedOn w:val="959"/>
    <w:next w:val="968"/>
    <w:link w:val="967"/>
    <w:uiPriority w:val="99"/>
    <w:pPr>
      <w:pBdr/>
      <w:spacing/>
      <w:ind/>
    </w:pPr>
  </w:style>
  <w:style w:type="paragraph" w:styleId="969">
    <w:name w:val="Текст выноски"/>
    <w:basedOn w:val="958"/>
    <w:next w:val="969"/>
    <w:link w:val="970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970">
    <w:name w:val="Текст выноски Знак"/>
    <w:next w:val="970"/>
    <w:link w:val="969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971">
    <w:name w:val="ConsPlusCell"/>
    <w:next w:val="971"/>
    <w:link w:val="958"/>
    <w:uiPriority w:val="99"/>
    <w:pPr>
      <w:widowControl w:val="false"/>
      <w:pBdr/>
      <w:spacing/>
      <w:ind/>
    </w:pPr>
    <w:rPr>
      <w:rFonts w:ascii="Arial" w:hAnsi="Arial" w:eastAsia="Times New Roman" w:cs="Arial"/>
      <w:lang w:val="ru-RU" w:eastAsia="ru-RU" w:bidi="ar-SA"/>
    </w:rPr>
  </w:style>
  <w:style w:type="paragraph" w:styleId="972">
    <w:name w:val="ConsPlusNonformat"/>
    <w:next w:val="972"/>
    <w:link w:val="958"/>
    <w:pPr>
      <w:pBdr/>
      <w:spacing/>
      <w:ind/>
    </w:pPr>
    <w:rPr>
      <w:rFonts w:ascii="Courier New" w:hAnsi="Courier New" w:eastAsia="Times New Roman" w:cs="Courier New"/>
      <w:lang w:val="ru-RU" w:eastAsia="ru-RU" w:bidi="ar-SA"/>
    </w:rPr>
  </w:style>
  <w:style w:type="character" w:styleId="973">
    <w:name w:val="Гиперссылка"/>
    <w:next w:val="973"/>
    <w:link w:val="958"/>
    <w:uiPriority w:val="99"/>
    <w:unhideWhenUsed/>
    <w:pPr>
      <w:pBdr/>
      <w:spacing/>
      <w:ind/>
    </w:pPr>
    <w:rPr>
      <w:color w:val="0563c1"/>
      <w:u w:val="single"/>
    </w:rPr>
  </w:style>
  <w:style w:type="numbering" w:styleId="974">
    <w:name w:val="Нет списка1"/>
    <w:next w:val="961"/>
    <w:link w:val="958"/>
    <w:uiPriority w:val="99"/>
    <w:semiHidden/>
    <w:unhideWhenUsed/>
    <w:pPr>
      <w:pBdr/>
      <w:spacing/>
      <w:ind/>
    </w:pPr>
  </w:style>
  <w:style w:type="table" w:styleId="975">
    <w:name w:val="Сетка таблицы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6">
    <w:name w:val="Просмотренная гиперссылка"/>
    <w:next w:val="976"/>
    <w:link w:val="958"/>
    <w:uiPriority w:val="99"/>
    <w:semiHidden/>
    <w:unhideWhenUsed/>
    <w:pPr>
      <w:pBdr/>
      <w:spacing/>
      <w:ind/>
    </w:pPr>
    <w:rPr>
      <w:color w:val="954f72"/>
      <w:u w:val="single"/>
    </w:rPr>
  </w:style>
  <w:style w:type="paragraph" w:styleId="977">
    <w:name w:val="xl65"/>
    <w:basedOn w:val="958"/>
    <w:next w:val="97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8">
    <w:name w:val="xl66"/>
    <w:basedOn w:val="958"/>
    <w:next w:val="978"/>
    <w:link w:val="958"/>
    <w:pPr>
      <w:pBdr>
        <w:top w:val="single" w:color="000000" w:sz="4" w:space="0"/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79">
    <w:name w:val="xl67"/>
    <w:basedOn w:val="958"/>
    <w:next w:val="979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0">
    <w:name w:val="xl68"/>
    <w:basedOn w:val="958"/>
    <w:next w:val="980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1">
    <w:name w:val="xl69"/>
    <w:basedOn w:val="958"/>
    <w:next w:val="981"/>
    <w:link w:val="958"/>
    <w:pPr>
      <w:pBdr>
        <w:left w:val="single" w:color="000000" w:sz="4" w:space="0"/>
        <w:right w:val="single" w:color="000000" w:sz="4" w:space="0"/>
      </w:pBdr>
      <w:shd w:val="clear" w:color="000000" w:fill="8497b0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2">
    <w:name w:val="xl70"/>
    <w:basedOn w:val="958"/>
    <w:next w:val="982"/>
    <w:link w:val="958"/>
    <w:pPr>
      <w:pBdr>
        <w:left w:val="single" w:color="000000" w:sz="4" w:space="0"/>
        <w:right w:val="single" w:color="000000" w:sz="4" w:space="0"/>
      </w:pBdr>
      <w:shd w:val="clear" w:color="000000" w:fill="33cc33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3">
    <w:name w:val="xl71"/>
    <w:basedOn w:val="958"/>
    <w:next w:val="983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4">
    <w:name w:val="xl72"/>
    <w:basedOn w:val="958"/>
    <w:next w:val="984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5">
    <w:name w:val="xl73"/>
    <w:basedOn w:val="958"/>
    <w:next w:val="985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6">
    <w:name w:val="xl74"/>
    <w:basedOn w:val="958"/>
    <w:next w:val="986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7">
    <w:name w:val="xl75"/>
    <w:basedOn w:val="958"/>
    <w:next w:val="987"/>
    <w:link w:val="958"/>
    <w:pPr>
      <w:pBdr>
        <w:top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8">
    <w:name w:val="xl76"/>
    <w:basedOn w:val="958"/>
    <w:next w:val="988"/>
    <w:link w:val="958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89">
    <w:name w:val="xl77"/>
    <w:basedOn w:val="958"/>
    <w:next w:val="989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0">
    <w:name w:val="xl78"/>
    <w:basedOn w:val="958"/>
    <w:next w:val="990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1">
    <w:name w:val="xl79"/>
    <w:basedOn w:val="958"/>
    <w:next w:val="991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both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992">
    <w:name w:val="Нет списка2"/>
    <w:next w:val="961"/>
    <w:link w:val="958"/>
    <w:uiPriority w:val="99"/>
    <w:semiHidden/>
    <w:unhideWhenUsed/>
    <w:pPr>
      <w:pBdr/>
      <w:spacing/>
      <w:ind/>
    </w:pPr>
  </w:style>
  <w:style w:type="paragraph" w:styleId="993">
    <w:name w:val="xl80"/>
    <w:basedOn w:val="958"/>
    <w:next w:val="99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4">
    <w:name w:val="xl81"/>
    <w:basedOn w:val="958"/>
    <w:next w:val="994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5">
    <w:name w:val="xl82"/>
    <w:basedOn w:val="958"/>
    <w:next w:val="995"/>
    <w:link w:val="958"/>
    <w:pPr>
      <w:pBdr>
        <w:top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6">
    <w:name w:val="xl83"/>
    <w:basedOn w:val="958"/>
    <w:next w:val="99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32"/>
      <w:szCs w:val="32"/>
      <w:lang w:eastAsia="ru-RU"/>
    </w:rPr>
  </w:style>
  <w:style w:type="paragraph" w:styleId="997">
    <w:name w:val="xl84"/>
    <w:basedOn w:val="958"/>
    <w:next w:val="997"/>
    <w:link w:val="958"/>
    <w:pPr>
      <w:pBdr>
        <w:top w:val="single" w:color="000000" w:sz="4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8">
    <w:name w:val="xl85"/>
    <w:basedOn w:val="958"/>
    <w:next w:val="998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999">
    <w:name w:val="xl86"/>
    <w:basedOn w:val="958"/>
    <w:next w:val="999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0">
    <w:name w:val="xl87"/>
    <w:basedOn w:val="958"/>
    <w:next w:val="1000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1">
    <w:name w:val="xl88"/>
    <w:basedOn w:val="958"/>
    <w:next w:val="1001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2">
    <w:name w:val="xl89"/>
    <w:basedOn w:val="958"/>
    <w:next w:val="1002"/>
    <w:link w:val="958"/>
    <w:pPr>
      <w:pBdr>
        <w:top w:val="single" w:color="000000" w:sz="4" w:space="0"/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3">
    <w:name w:val="xl90"/>
    <w:basedOn w:val="958"/>
    <w:next w:val="1003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4">
    <w:name w:val="xl91"/>
    <w:basedOn w:val="958"/>
    <w:next w:val="1004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5">
    <w:name w:val="xl92"/>
    <w:basedOn w:val="958"/>
    <w:next w:val="100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6">
    <w:name w:val="xl93"/>
    <w:basedOn w:val="958"/>
    <w:next w:val="1006"/>
    <w:link w:val="958"/>
    <w:pPr>
      <w:pBdr>
        <w:top w:val="single" w:color="000000" w:sz="4" w:space="0"/>
        <w:left w:val="single" w:color="000000" w:sz="4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7">
    <w:name w:val="xl94"/>
    <w:basedOn w:val="958"/>
    <w:next w:val="1007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8">
    <w:name w:val="xl95"/>
    <w:basedOn w:val="958"/>
    <w:next w:val="1008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09">
    <w:name w:val="xl96"/>
    <w:basedOn w:val="958"/>
    <w:next w:val="1009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0">
    <w:name w:val="xl97"/>
    <w:basedOn w:val="958"/>
    <w:next w:val="1010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1">
    <w:name w:val="xl98"/>
    <w:basedOn w:val="958"/>
    <w:next w:val="1011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2">
    <w:name w:val="xl99"/>
    <w:basedOn w:val="958"/>
    <w:next w:val="1012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3">
    <w:name w:val="xl100"/>
    <w:basedOn w:val="958"/>
    <w:next w:val="1013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4">
    <w:name w:val="xl101"/>
    <w:basedOn w:val="958"/>
    <w:next w:val="1014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15">
    <w:name w:val="xl102"/>
    <w:basedOn w:val="958"/>
    <w:next w:val="1015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numbering" w:styleId="1016">
    <w:name w:val="Нет списка3"/>
    <w:next w:val="961"/>
    <w:link w:val="958"/>
    <w:uiPriority w:val="99"/>
    <w:semiHidden/>
    <w:unhideWhenUsed/>
    <w:pPr>
      <w:pBdr/>
      <w:spacing/>
      <w:ind/>
    </w:pPr>
  </w:style>
  <w:style w:type="table" w:styleId="1017">
    <w:name w:val="Сетка таблицы2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8">
    <w:name w:val="Нет списка11"/>
    <w:next w:val="961"/>
    <w:link w:val="958"/>
    <w:uiPriority w:val="99"/>
    <w:semiHidden/>
    <w:unhideWhenUsed/>
    <w:pPr>
      <w:pBdr/>
      <w:spacing/>
      <w:ind/>
    </w:pPr>
  </w:style>
  <w:style w:type="table" w:styleId="1019">
    <w:name w:val="Сетка таблицы11"/>
    <w:basedOn w:val="960"/>
    <w:next w:val="963"/>
    <w:link w:val="958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20">
    <w:name w:val="Нет списка21"/>
    <w:next w:val="961"/>
    <w:link w:val="958"/>
    <w:uiPriority w:val="99"/>
    <w:semiHidden/>
    <w:unhideWhenUsed/>
    <w:pPr>
      <w:pBdr/>
      <w:spacing/>
      <w:ind/>
    </w:pPr>
  </w:style>
  <w:style w:type="paragraph" w:styleId="1021">
    <w:name w:val="msonormal"/>
    <w:basedOn w:val="958"/>
    <w:next w:val="1021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2">
    <w:name w:val="xl64"/>
    <w:basedOn w:val="958"/>
    <w:next w:val="1022"/>
    <w:link w:val="958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23">
    <w:name w:val="xl103"/>
    <w:basedOn w:val="958"/>
    <w:next w:val="1023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99ffcc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4">
    <w:name w:val="xl104"/>
    <w:basedOn w:val="958"/>
    <w:next w:val="1024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5">
    <w:name w:val="xl105"/>
    <w:basedOn w:val="958"/>
    <w:next w:val="1025"/>
    <w:link w:val="958"/>
    <w:pPr>
      <w:pBdr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6">
    <w:name w:val="xl106"/>
    <w:basedOn w:val="958"/>
    <w:next w:val="1026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7">
    <w:name w:val="xl107"/>
    <w:basedOn w:val="958"/>
    <w:next w:val="1027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8">
    <w:name w:val="xl108"/>
    <w:basedOn w:val="958"/>
    <w:next w:val="1028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29">
    <w:name w:val="xl109"/>
    <w:basedOn w:val="958"/>
    <w:next w:val="102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ccff66"/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0">
    <w:name w:val="xl110"/>
    <w:basedOn w:val="958"/>
    <w:next w:val="1030"/>
    <w:link w:val="958"/>
    <w:pPr>
      <w:pBdr>
        <w:top w:val="single" w:color="000000" w:sz="8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1">
    <w:name w:val="xl111"/>
    <w:basedOn w:val="958"/>
    <w:next w:val="1031"/>
    <w:link w:val="958"/>
    <w:pPr>
      <w:pBdr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2">
    <w:name w:val="xl112"/>
    <w:basedOn w:val="958"/>
    <w:next w:val="1032"/>
    <w:link w:val="958"/>
    <w:pPr>
      <w:pBdr>
        <w:left w:val="single" w:color="000000" w:sz="8" w:space="0"/>
        <w:bottom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3">
    <w:name w:val="xl113"/>
    <w:basedOn w:val="958"/>
    <w:next w:val="1033"/>
    <w:link w:val="958"/>
    <w:pPr>
      <w:pBdr>
        <w:top w:val="single" w:color="000000" w:sz="8" w:space="0"/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4">
    <w:name w:val="xl114"/>
    <w:basedOn w:val="958"/>
    <w:next w:val="1034"/>
    <w:link w:val="958"/>
    <w:pPr>
      <w:pBdr>
        <w:left w:val="single" w:color="000000" w:sz="4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5">
    <w:name w:val="xl115"/>
    <w:basedOn w:val="958"/>
    <w:next w:val="1035"/>
    <w:link w:val="958"/>
    <w:pPr>
      <w:pBdr>
        <w:left w:val="single" w:color="000000" w:sz="4" w:space="0"/>
        <w:bottom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6">
    <w:name w:val="xl116"/>
    <w:basedOn w:val="958"/>
    <w:next w:val="1036"/>
    <w:link w:val="958"/>
    <w:pPr>
      <w:pBdr>
        <w:top w:val="single" w:color="000000" w:sz="8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7">
    <w:name w:val="xl117"/>
    <w:basedOn w:val="958"/>
    <w:next w:val="1037"/>
    <w:link w:val="958"/>
    <w:pPr>
      <w:pBdr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8">
    <w:name w:val="xl118"/>
    <w:basedOn w:val="958"/>
    <w:next w:val="1038"/>
    <w:link w:val="958"/>
    <w:pPr>
      <w:pBdr>
        <w:top w:val="single" w:color="000000" w:sz="8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39">
    <w:name w:val="xl119"/>
    <w:basedOn w:val="958"/>
    <w:next w:val="1039"/>
    <w:link w:val="958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0">
    <w:name w:val="xl120"/>
    <w:basedOn w:val="958"/>
    <w:next w:val="1040"/>
    <w:link w:val="958"/>
    <w:pPr>
      <w:pBdr>
        <w:top w:val="single" w:color="000000" w:sz="8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1">
    <w:name w:val="xl121"/>
    <w:basedOn w:val="958"/>
    <w:next w:val="1041"/>
    <w:link w:val="958"/>
    <w:pPr>
      <w:pBdr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2">
    <w:name w:val="xl122"/>
    <w:basedOn w:val="958"/>
    <w:next w:val="1042"/>
    <w:link w:val="958"/>
    <w:pPr>
      <w:pBdr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3">
    <w:name w:val="xl123"/>
    <w:basedOn w:val="958"/>
    <w:next w:val="1043"/>
    <w:link w:val="958"/>
    <w:pPr>
      <w:pBdr>
        <w:top w:val="single" w:color="000000" w:sz="4" w:space="0"/>
        <w:left w:val="single" w:color="000000" w:sz="8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4">
    <w:name w:val="xl124"/>
    <w:basedOn w:val="958"/>
    <w:next w:val="1044"/>
    <w:link w:val="958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5">
    <w:name w:val="xl125"/>
    <w:basedOn w:val="958"/>
    <w:next w:val="1045"/>
    <w:link w:val="958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6">
    <w:name w:val="xl126"/>
    <w:basedOn w:val="958"/>
    <w:next w:val="1046"/>
    <w:link w:val="958"/>
    <w:pPr>
      <w:pBdr>
        <w:left w:val="single" w:color="000000" w:sz="4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7">
    <w:name w:val="xl127"/>
    <w:basedOn w:val="958"/>
    <w:next w:val="1047"/>
    <w:link w:val="958"/>
    <w:pPr>
      <w:pBdr>
        <w:top w:val="single" w:color="000000" w:sz="4" w:space="0"/>
        <w:left w:val="single" w:color="000000" w:sz="8" w:space="0"/>
        <w:righ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8">
    <w:name w:val="xl128"/>
    <w:basedOn w:val="958"/>
    <w:next w:val="1048"/>
    <w:link w:val="958"/>
    <w:pPr>
      <w:pBdr>
        <w:top w:val="single" w:color="000000" w:sz="4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49">
    <w:name w:val="xl129"/>
    <w:basedOn w:val="958"/>
    <w:next w:val="1049"/>
    <w:link w:val="958"/>
    <w:pPr>
      <w:pBdr>
        <w:top w:val="single" w:color="000000" w:sz="8" w:space="0"/>
        <w:left w:val="single" w:color="000000" w:sz="4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0">
    <w:name w:val="xl130"/>
    <w:basedOn w:val="958"/>
    <w:next w:val="1050"/>
    <w:link w:val="958"/>
    <w:pPr>
      <w:pBdr>
        <w:left w:val="single" w:color="000000" w:sz="4" w:space="0"/>
        <w:bottom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1">
    <w:name w:val="xl131"/>
    <w:basedOn w:val="958"/>
    <w:next w:val="1051"/>
    <w:link w:val="958"/>
    <w:pPr>
      <w:pBdr>
        <w:lef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2">
    <w:name w:val="xl132"/>
    <w:basedOn w:val="958"/>
    <w:next w:val="1052"/>
    <w:link w:val="958"/>
    <w:pPr>
      <w:pBdr>
        <w:top w:val="single" w:color="000000" w:sz="8" w:space="0"/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paragraph" w:styleId="1053">
    <w:name w:val="xl133"/>
    <w:basedOn w:val="958"/>
    <w:next w:val="1053"/>
    <w:link w:val="958"/>
    <w:pPr>
      <w:pBdr>
        <w:left w:val="single" w:color="000000" w:sz="8" w:space="0"/>
        <w:right w:val="single" w:color="000000" w:sz="8" w:space="0"/>
      </w:pBdr>
      <w:spacing w:after="100" w:afterAutospacing="1" w:before="100" w:beforeAutospacing="1" w:line="240" w:lineRule="auto"/>
      <w:ind/>
      <w:jc w:val="center"/>
    </w:pPr>
    <w:rPr>
      <w:rFonts w:ascii="Times New Roman" w:hAnsi="Times New Roman" w:eastAsia="Times New Roman"/>
      <w:sz w:val="28"/>
      <w:szCs w:val="28"/>
      <w:lang w:eastAsia="ru-RU"/>
    </w:rPr>
  </w:style>
  <w:style w:type="character" w:styleId="1054">
    <w:name w:val="Неразрешенное упоминание"/>
    <w:next w:val="1054"/>
    <w:link w:val="958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55">
    <w:name w:val="Обычный (веб)"/>
    <w:basedOn w:val="958"/>
    <w:next w:val="1055"/>
    <w:link w:val="958"/>
    <w:uiPriority w:val="99"/>
    <w:semiHidden/>
    <w:unhideWhenUsed/>
    <w:pPr>
      <w:pBdr/>
      <w:spacing/>
      <w:ind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635</cp:revision>
  <dcterms:created xsi:type="dcterms:W3CDTF">2016-09-30T12:20:00Z</dcterms:created>
  <dcterms:modified xsi:type="dcterms:W3CDTF">2025-08-01T11:35:42Z</dcterms:modified>
  <cp:version>1048576</cp:version>
</cp:coreProperties>
</file>