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line="240" w:lineRule="auto"/>
        <w:ind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line="240" w:lineRule="auto"/>
        <w:ind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line="240" w:lineRule="auto"/>
        <w:ind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________ 2025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Казань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3969"/>
        </w:tabs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.0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790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нормативов для государственных театрально-зрелищных учреждений культуры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на 2025 год и на плановый период 2026 и 2027 годов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right="-1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300" w:lineRule="auto"/>
        <w:ind w:right="-1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widowControl w:val="false"/>
        <w:numPr>
          <w:ilvl w:val="0"/>
          <w:numId w:val="1"/>
        </w:numPr>
        <w:pBdr/>
        <w:tabs>
          <w:tab w:val="left" w:leader="none" w:pos="993"/>
        </w:tabs>
        <w:spacing w:after="0" w:line="300" w:lineRule="auto"/>
        <w:ind w:right="-1"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Внести в</w:t>
      </w:r>
      <w:hyperlink r:id="rId11" w:tooltip="https://login.consultant.ru/link/?req=doc&amp;base=RLAW363&amp;n=178866&amp;dst=113739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Кабинета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от 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.0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790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нормативов для государственных театрально-зрелищных учреждений культуры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на 2025 год и на плановый период 2026 и 2027 годов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widowControl w:val="false"/>
        <w:pBdr/>
        <w:spacing w:after="0" w:line="300" w:lineRule="auto"/>
        <w:ind w:right="-1"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4 строки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Татарский государственный Академический театр имени Галиаскара Камала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затрат и объемов предоставления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венной услуги по показу (организации показа) спектаклей (театральных постановок) государственных театрально-зрелищных учреждений культуры Республики Татарстан на 2025 год и на плановый период 2026 и 2027 годов, утвержденных указанным постановлением, цифры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1 348,82; 2 064,67 и  3 235,27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2 310,85; 3 537,87 и 5 378,32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300" w:lineRule="auto"/>
        <w:ind w:right="-1"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4 строки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Татарский государственный Академический театр имени Галиаскара Камала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затрат </w:t>
      </w:r>
      <w:r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r>
        <w:rPr>
          <w:rFonts w:ascii="Times New Roman" w:hAnsi="Times New Roman" w:cs="Times New Roman"/>
          <w:sz w:val="28"/>
          <w:szCs w:val="28"/>
        </w:rPr>
        <w:t xml:space="preserve">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венной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показ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спектаклей государственных театрально-зрелищных учреждений культуры Республики Татарстан на 2025 год и на плановый период 2026 и 2027 годов, утвержденных указанным постановлением, цифры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16 890 199,6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>
        <w:rPr>
          <w:rFonts w:ascii="Times New Roman" w:hAnsi="Times New Roman" w:cs="Times New Roman"/>
          <w:sz w:val="28"/>
          <w:szCs w:val="28"/>
        </w:rPr>
        <w:t xml:space="preserve">1 376 448,2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718 949,0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936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96</w:t>
      </w:r>
      <w:r>
        <w:rPr>
          <w:rFonts w:ascii="Times New Roman" w:hAnsi="Times New Roman" w:cs="Times New Roman"/>
          <w:sz w:val="28"/>
          <w:szCs w:val="28"/>
          <w:lang w:val="undefined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,0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2 358 582,5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1 195 183</w:t>
      </w:r>
      <w:r>
        <w:rPr>
          <w:rFonts w:ascii="Times New Roman" w:hAnsi="Times New Roman" w:cs="Times New Roman"/>
          <w:sz w:val="28"/>
          <w:szCs w:val="28"/>
        </w:rPr>
        <w:t xml:space="preserve">,3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300" w:lineRule="auto"/>
        <w:ind w:right="-1"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строки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Татарский государственный Академический театр имени Галиаскара Камала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затрат </w:t>
      </w:r>
      <w:r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r>
        <w:rPr>
          <w:rFonts w:ascii="Times New Roman" w:hAnsi="Times New Roman" w:cs="Times New Roman"/>
          <w:sz w:val="28"/>
          <w:szCs w:val="28"/>
        </w:rPr>
        <w:t xml:space="preserve">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венной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созданию</w:t>
      </w:r>
      <w:r>
        <w:rPr>
          <w:rFonts w:ascii="Times New Roman" w:hAnsi="Times New Roman" w:cs="Times New Roman"/>
          <w:sz w:val="28"/>
          <w:szCs w:val="28"/>
        </w:rPr>
        <w:t xml:space="preserve"> спектаклей государственных театрально-зрелищных учреждений культуры Республики Татарстан на 2025 год и на плановый период 2026 и 2027 годов, утвержденных указанным постановлением, цифры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33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017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229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347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327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999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2"/>
        <w:widowControl w:val="false"/>
        <w:numPr>
          <w:ilvl w:val="0"/>
          <w:numId w:val="1"/>
        </w:numPr>
        <w:pBdr/>
        <w:tabs>
          <w:tab w:val="left" w:leader="none" w:pos="993"/>
        </w:tabs>
        <w:spacing w:after="0" w:line="300" w:lineRule="auto"/>
        <w:ind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Установить, что действие настоящего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постановления распространяется на правоотношения, возникшие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января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202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года.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Премьер-министр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Республики Татарстан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А.В. Песошин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headerReference w:type="default" r:id="rId9"/>
          <w:footnotePr/>
          <w:endnotePr/>
          <w:type w:val="nextPage"/>
          <w:pgSz w:h="16838" w:orient="portrait" w:w="11905"/>
          <w:pgMar w:top="1134" w:right="567" w:bottom="1134" w:left="1134" w:header="709" w:footer="0" w:gutter="0"/>
          <w:cols w:num="1" w:sep="0" w:space="720" w:equalWidth="1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17"/>
        <w:suppressLineNumbers w:val="false"/>
        <w:pBdr/>
        <w:spacing w:line="240" w:lineRule="auto"/>
        <w:ind/>
        <w:contextualSpacing w:val="true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Cs/>
          <w:sz w:val="28"/>
          <w:szCs w:val="28"/>
        </w:rPr>
        <w:t xml:space="preserve">ОЯСНИТЕЛЬНАЯ ЗАПИСКА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7"/>
        <w:suppressLineNumbers w:val="false"/>
        <w:pBdr/>
        <w:spacing w:after="0" w:before="0" w:line="264" w:lineRule="auto"/>
        <w:ind/>
        <w:contextualSpacing w:val="tru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проекту постановления Кабинета Министров Республики Татарстан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17"/>
        <w:pBdr/>
        <w:spacing w:after="0" w:before="0" w:line="264" w:lineRule="auto"/>
        <w:ind/>
        <w:contextualSpacing w:val="true"/>
        <w:jc w:val="center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.0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790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нормативов для государственных театрально-зрелищных учреждений культуры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на 2025 год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17"/>
        <w:pBdr/>
        <w:spacing w:after="0" w:before="0" w:line="264" w:lineRule="auto"/>
        <w:ind/>
        <w:contextualSpacing w:val="true"/>
        <w:jc w:val="center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плановый период 2026 и 2027 годов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28"/>
        <w:pBdr/>
        <w:spacing w:after="57" w:afterAutospacing="1" w:before="57" w:beforeAutospacing="1" w:line="264" w:lineRule="auto"/>
        <w:ind w:right="0" w:firstLine="709" w:left="0"/>
        <w:contextualSpacing w:val="true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роект постановления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.0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790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нормативов для государственных театрально-зрелищных учреждений культуры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на 2025 год и на плановый период 2026 и 2027 годов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рас</w:t>
      </w:r>
      <w:r>
        <w:rPr>
          <w:rFonts w:ascii="Times New Roman" w:hAnsi="Times New Roman" w:cs="Times New Roman"/>
          <w:sz w:val="28"/>
          <w:szCs w:val="28"/>
        </w:rPr>
        <w:t xml:space="preserve">поряжением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hAnsi="Times New Roman" w:cs="Times New Roman"/>
          <w:sz w:val="28"/>
          <w:szCs w:val="28"/>
        </w:rPr>
        <w:t xml:space="preserve">28</w:t>
      </w:r>
      <w:r>
        <w:rPr>
          <w:rFonts w:ascii="Times New Roman" w:hAnsi="Times New Roman" w:cs="Times New Roman"/>
          <w:sz w:val="28"/>
          <w:szCs w:val="28"/>
        </w:rPr>
        <w:t xml:space="preserve">.0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.2025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417-р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увеличении объема финансового обеспечения выполнения государственного задания </w:t>
      </w:r>
      <w:r>
        <w:rPr>
          <w:rFonts w:ascii="Times New Roman" w:hAnsi="Times New Roman" w:cs="Times New Roman"/>
          <w:sz w:val="28"/>
          <w:szCs w:val="28"/>
        </w:rPr>
        <w:t xml:space="preserve">ГБУ «Татарский государственный Академический театр имени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Галиас</w:t>
      </w:r>
      <w:r>
        <w:rPr>
          <w:rFonts w:ascii="Times New Roman" w:hAnsi="Times New Roman" w:cs="Times New Roman"/>
          <w:sz w:val="28"/>
          <w:szCs w:val="28"/>
          <w:highlight w:val="none"/>
          <w:lang w:val="undefined"/>
        </w:rPr>
        <w:t xml:space="preserve">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ара Камала»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28"/>
        <w:suppressLineNumbers w:val="false"/>
        <w:pBdr/>
        <w:spacing w:after="57" w:afterAutospacing="1" w:before="57" w:beforeAutospacing="1" w:line="264" w:lineRule="auto"/>
        <w:ind w:right="0" w:firstLine="709" w:lef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постановления вносится изменение в </w:t>
      </w:r>
      <w:r>
        <w:rPr>
          <w:rFonts w:ascii="Times New Roman" w:hAnsi="Times New Roman" w:cs="Times New Roman"/>
          <w:sz w:val="28"/>
          <w:szCs w:val="28"/>
        </w:rPr>
        <w:t xml:space="preserve">нормативны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и объем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венной услуги по показу (организации показа) спектаклей (театральных постановок) государственных театрально-зрелищных учреждений культуры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нормативны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r>
        <w:rPr>
          <w:rFonts w:ascii="Times New Roman" w:hAnsi="Times New Roman" w:cs="Times New Roman"/>
          <w:sz w:val="28"/>
          <w:szCs w:val="28"/>
        </w:rPr>
        <w:t xml:space="preserve">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венной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показ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спектаклей государственных театрально-зрелищных учреждений культуры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нормативны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r>
        <w:rPr>
          <w:rFonts w:ascii="Times New Roman" w:hAnsi="Times New Roman" w:cs="Times New Roman"/>
          <w:sz w:val="28"/>
          <w:szCs w:val="28"/>
        </w:rPr>
        <w:t xml:space="preserve">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венной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созданию</w:t>
      </w:r>
      <w:r>
        <w:rPr>
          <w:rFonts w:ascii="Times New Roman" w:hAnsi="Times New Roman" w:cs="Times New Roman"/>
          <w:sz w:val="28"/>
          <w:szCs w:val="28"/>
        </w:rPr>
        <w:t xml:space="preserve"> спектаклей государственных театрально-зрелищных учреждений культуры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на 2025 год </w:t>
      </w:r>
      <w:r>
        <w:rPr>
          <w:rFonts w:ascii="Times New Roman" w:hAnsi="Times New Roman" w:cs="Times New Roman"/>
          <w:sz w:val="28"/>
          <w:szCs w:val="28"/>
        </w:rPr>
        <w:t xml:space="preserve">на плановый период 2026 и 2027 годов</w:t>
      </w:r>
      <w:r>
        <w:rPr>
          <w:rFonts w:ascii="Times New Roman" w:hAnsi="Times New Roman" w:cs="Times New Roman"/>
          <w:sz w:val="28"/>
          <w:szCs w:val="28"/>
        </w:rPr>
        <w:t xml:space="preserve"> в части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соответствующих изменений по строке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Татарский государственный Академический театр имени Галиаскара Камала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2025 год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8"/>
        <w:suppressLineNumbers w:val="false"/>
        <w:pBdr/>
        <w:spacing w:after="57" w:afterAutospacing="1" w:before="57" w:beforeAutospacing="1" w:line="264" w:lineRule="auto"/>
        <w:ind w:right="0" w:firstLine="709" w:lef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Принятие данного проекта постановления Кабинета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потребует выделения дополнительных средств </w:t>
      </w:r>
      <w:r>
        <w:rPr>
          <w:rFonts w:ascii="Times New Roman" w:hAnsi="Times New Roman"/>
          <w:sz w:val="28"/>
          <w:szCs w:val="28"/>
          <w:lang w:eastAsia="ru-RU"/>
        </w:rPr>
        <w:t xml:space="preserve">из бюджета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Start w:id="4" w:name="_GoBack"/>
      <w:r/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Отсутствуе</w:t>
      </w:r>
      <w:r>
        <w:rPr>
          <w:rFonts w:ascii="Times New Roman" w:hAnsi="Times New Roman" w:cs="Times New Roman"/>
          <w:sz w:val="28"/>
          <w:szCs w:val="28"/>
        </w:rPr>
        <w:t xml:space="preserve">т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в проведении 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проекта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pBdr/>
        <w:spacing w:line="228" w:lineRule="auto"/>
        <w:ind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pStyle w:val="928"/>
        <w:suppressLineNumbers w:val="false"/>
        <w:pBdr/>
        <w:spacing w:after="57" w:afterAutospacing="1" w:before="57" w:beforeAutospacing="1" w:line="264" w:lineRule="auto"/>
        <w:ind w:right="0" w:firstLine="709" w:left="0"/>
        <w:contextualSpacing w:val="true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uppressLineNumbers w:val="false"/>
        <w:pBdr/>
        <w:spacing w:after="0" w:afterAutospacing="1" w:before="0" w:beforeAutospacing="1" w:line="360" w:lineRule="auto"/>
        <w:ind w:firstLine="567"/>
        <w:contextualSpacing w:val="true"/>
        <w:jc w:val="left"/>
        <w:rPr>
          <w:rFonts w:ascii="Times New Roman" w:hAnsi="Times New Roman" w:cs="Arial"/>
          <w:sz w:val="28"/>
          <w:szCs w:val="28"/>
          <w:highlight w:val="white"/>
        </w:rPr>
      </w:pPr>
      <w:r>
        <w:rPr>
          <w:rFonts w:ascii="Times New Roman" w:hAnsi="Times New Roman" w:cs="Arial"/>
          <w:sz w:val="28"/>
          <w:szCs w:val="28"/>
          <w:highlight w:val="white"/>
        </w:rPr>
      </w:r>
      <w:r>
        <w:rPr>
          <w:rFonts w:ascii="Times New Roman" w:hAnsi="Times New Roman" w:cs="Arial"/>
          <w:sz w:val="28"/>
          <w:szCs w:val="28"/>
          <w:highlight w:val="white"/>
        </w:rPr>
      </w:r>
      <w:r>
        <w:rPr>
          <w:rFonts w:ascii="Times New Roman" w:hAnsi="Times New Roman" w:cs="Arial"/>
          <w:sz w:val="28"/>
          <w:szCs w:val="28"/>
          <w:highlight w:val="white"/>
        </w:rPr>
      </w:r>
    </w:p>
    <w:p>
      <w:pPr>
        <w:pStyle w:val="917"/>
        <w:pBdr/>
        <w:spacing w:line="228" w:lineRule="auto"/>
        <w:ind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sectPr>
      <w:footnotePr/>
      <w:endnotePr/>
      <w:type w:val="nextPage"/>
      <w:pgSz w:h="16838" w:orient="portrait" w:w="11905"/>
      <w:pgMar w:top="1134" w:right="567" w:bottom="1134" w:left="1134" w:header="510" w:footer="0" w:gutter="0"/>
      <w:pgNumType w:start="1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113773916"/>
      <w:docPartObj>
        <w:docPartGallery w:val="Page Numbers (Top of Page)"/>
        <w:docPartUnique w:val="true"/>
      </w:docPartObj>
      <w:rPr/>
    </w:sdtPr>
    <w:sdtContent>
      <w:p>
        <w:pPr>
          <w:pStyle w:val="918"/>
          <w:pBdr/>
          <w:spacing/>
          <w:ind/>
          <w:jc w:val="center"/>
          <w:rPr/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</w:rPr>
          <w:t xml:space="preserve">31</w:t>
        </w:r>
        <w:r>
          <w:rPr>
            <w:rFonts w:ascii="Times New Roman" w:hAnsi="Times New Roman" w:cs="Times New Roman"/>
            <w:sz w:val="28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90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6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62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31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6">
    <w:name w:val="Heading 1"/>
    <w:basedOn w:val="912"/>
    <w:next w:val="912"/>
    <w:link w:val="86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7">
    <w:name w:val="Heading 2"/>
    <w:basedOn w:val="912"/>
    <w:next w:val="912"/>
    <w:link w:val="86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8">
    <w:name w:val="Heading 3"/>
    <w:basedOn w:val="912"/>
    <w:next w:val="912"/>
    <w:link w:val="86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9">
    <w:name w:val="Heading 4"/>
    <w:basedOn w:val="912"/>
    <w:next w:val="912"/>
    <w:link w:val="86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0">
    <w:name w:val="Heading 5"/>
    <w:basedOn w:val="912"/>
    <w:next w:val="912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1">
    <w:name w:val="Heading 6"/>
    <w:basedOn w:val="912"/>
    <w:next w:val="912"/>
    <w:link w:val="87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2">
    <w:name w:val="Heading 7"/>
    <w:basedOn w:val="912"/>
    <w:next w:val="912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3">
    <w:name w:val="Heading 8"/>
    <w:basedOn w:val="912"/>
    <w:next w:val="912"/>
    <w:link w:val="87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4">
    <w:name w:val="Heading 9"/>
    <w:basedOn w:val="912"/>
    <w:next w:val="912"/>
    <w:link w:val="87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5">
    <w:name w:val="Heading 1 Char"/>
    <w:basedOn w:val="913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6">
    <w:name w:val="Heading 2 Char"/>
    <w:basedOn w:val="913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7">
    <w:name w:val="Heading 3 Char"/>
    <w:basedOn w:val="913"/>
    <w:link w:val="8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8">
    <w:name w:val="Heading 4 Char"/>
    <w:basedOn w:val="913"/>
    <w:link w:val="8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69">
    <w:name w:val="Heading 5 Char"/>
    <w:basedOn w:val="913"/>
    <w:link w:val="8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0">
    <w:name w:val="Heading 6 Char"/>
    <w:basedOn w:val="913"/>
    <w:link w:val="8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1">
    <w:name w:val="Heading 7 Char"/>
    <w:basedOn w:val="913"/>
    <w:link w:val="8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2">
    <w:name w:val="Heading 8 Char"/>
    <w:basedOn w:val="913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3">
    <w:name w:val="Heading 9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4">
    <w:name w:val="Title"/>
    <w:basedOn w:val="912"/>
    <w:next w:val="912"/>
    <w:link w:val="87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5">
    <w:name w:val="Title Char"/>
    <w:basedOn w:val="913"/>
    <w:link w:val="87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6">
    <w:name w:val="Subtitle"/>
    <w:basedOn w:val="912"/>
    <w:next w:val="912"/>
    <w:link w:val="87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7">
    <w:name w:val="Subtitle Char"/>
    <w:basedOn w:val="913"/>
    <w:link w:val="87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8">
    <w:name w:val="Quote"/>
    <w:basedOn w:val="912"/>
    <w:next w:val="912"/>
    <w:link w:val="87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79">
    <w:name w:val="Quote Char"/>
    <w:basedOn w:val="913"/>
    <w:link w:val="87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0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1">
    <w:name w:val="Intense Quote"/>
    <w:basedOn w:val="912"/>
    <w:next w:val="912"/>
    <w:link w:val="88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88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2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18"/>
    <w:uiPriority w:val="99"/>
    <w:pPr>
      <w:pBdr/>
      <w:spacing/>
      <w:ind/>
    </w:pPr>
  </w:style>
  <w:style w:type="character" w:styleId="891">
    <w:name w:val="Footer Char"/>
    <w:basedOn w:val="913"/>
    <w:link w:val="920"/>
    <w:uiPriority w:val="99"/>
    <w:pPr>
      <w:pBdr/>
      <w:spacing/>
      <w:ind/>
    </w:pPr>
  </w:style>
  <w:style w:type="paragraph" w:styleId="892">
    <w:name w:val="Caption"/>
    <w:basedOn w:val="912"/>
    <w:next w:val="91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3">
    <w:name w:val="footnote text"/>
    <w:basedOn w:val="912"/>
    <w:link w:val="89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4">
    <w:name w:val="Footnote Text Char"/>
    <w:basedOn w:val="913"/>
    <w:link w:val="893"/>
    <w:uiPriority w:val="99"/>
    <w:semiHidden/>
    <w:pPr>
      <w:pBdr/>
      <w:spacing/>
      <w:ind/>
    </w:pPr>
    <w:rPr>
      <w:sz w:val="20"/>
      <w:szCs w:val="20"/>
    </w:rPr>
  </w:style>
  <w:style w:type="character" w:styleId="895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6">
    <w:name w:val="endnote text"/>
    <w:basedOn w:val="912"/>
    <w:link w:val="89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7">
    <w:name w:val="Endnote Text Char"/>
    <w:basedOn w:val="913"/>
    <w:link w:val="896"/>
    <w:uiPriority w:val="99"/>
    <w:semiHidden/>
    <w:pPr>
      <w:pBdr/>
      <w:spacing/>
      <w:ind/>
    </w:pPr>
    <w:rPr>
      <w:sz w:val="20"/>
      <w:szCs w:val="20"/>
    </w:rPr>
  </w:style>
  <w:style w:type="character" w:styleId="898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character" w:styleId="899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0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1">
    <w:name w:val="toc 1"/>
    <w:basedOn w:val="912"/>
    <w:next w:val="912"/>
    <w:uiPriority w:val="39"/>
    <w:unhideWhenUsed/>
    <w:pPr>
      <w:pBdr/>
      <w:spacing w:after="100"/>
      <w:ind/>
    </w:pPr>
  </w:style>
  <w:style w:type="paragraph" w:styleId="902">
    <w:name w:val="toc 2"/>
    <w:basedOn w:val="912"/>
    <w:next w:val="912"/>
    <w:uiPriority w:val="39"/>
    <w:unhideWhenUsed/>
    <w:pPr>
      <w:pBdr/>
      <w:spacing w:after="100"/>
      <w:ind w:left="220"/>
    </w:pPr>
  </w:style>
  <w:style w:type="paragraph" w:styleId="903">
    <w:name w:val="toc 3"/>
    <w:basedOn w:val="912"/>
    <w:next w:val="912"/>
    <w:uiPriority w:val="39"/>
    <w:unhideWhenUsed/>
    <w:pPr>
      <w:pBdr/>
      <w:spacing w:after="100"/>
      <w:ind w:left="440"/>
    </w:pPr>
  </w:style>
  <w:style w:type="paragraph" w:styleId="904">
    <w:name w:val="toc 4"/>
    <w:basedOn w:val="912"/>
    <w:next w:val="912"/>
    <w:uiPriority w:val="39"/>
    <w:unhideWhenUsed/>
    <w:pPr>
      <w:pBdr/>
      <w:spacing w:after="100"/>
      <w:ind w:left="660"/>
    </w:pPr>
  </w:style>
  <w:style w:type="paragraph" w:styleId="905">
    <w:name w:val="toc 5"/>
    <w:basedOn w:val="912"/>
    <w:next w:val="912"/>
    <w:uiPriority w:val="39"/>
    <w:unhideWhenUsed/>
    <w:pPr>
      <w:pBdr/>
      <w:spacing w:after="100"/>
      <w:ind w:left="880"/>
    </w:pPr>
  </w:style>
  <w:style w:type="paragraph" w:styleId="906">
    <w:name w:val="toc 6"/>
    <w:basedOn w:val="912"/>
    <w:next w:val="912"/>
    <w:uiPriority w:val="39"/>
    <w:unhideWhenUsed/>
    <w:pPr>
      <w:pBdr/>
      <w:spacing w:after="100"/>
      <w:ind w:left="1100"/>
    </w:pPr>
  </w:style>
  <w:style w:type="paragraph" w:styleId="907">
    <w:name w:val="toc 7"/>
    <w:basedOn w:val="912"/>
    <w:next w:val="912"/>
    <w:uiPriority w:val="39"/>
    <w:unhideWhenUsed/>
    <w:pPr>
      <w:pBdr/>
      <w:spacing w:after="100"/>
      <w:ind w:left="1320"/>
    </w:pPr>
  </w:style>
  <w:style w:type="paragraph" w:styleId="908">
    <w:name w:val="toc 8"/>
    <w:basedOn w:val="912"/>
    <w:next w:val="912"/>
    <w:uiPriority w:val="39"/>
    <w:unhideWhenUsed/>
    <w:pPr>
      <w:pBdr/>
      <w:spacing w:after="100"/>
      <w:ind w:left="1540"/>
    </w:pPr>
  </w:style>
  <w:style w:type="paragraph" w:styleId="909">
    <w:name w:val="toc 9"/>
    <w:basedOn w:val="912"/>
    <w:next w:val="912"/>
    <w:uiPriority w:val="39"/>
    <w:unhideWhenUsed/>
    <w:pPr>
      <w:pBdr/>
      <w:spacing w:after="100"/>
      <w:ind w:left="1760"/>
    </w:pPr>
  </w:style>
  <w:style w:type="paragraph" w:styleId="910">
    <w:name w:val="TOC Heading"/>
    <w:uiPriority w:val="39"/>
    <w:unhideWhenUsed/>
    <w:pPr>
      <w:pBdr/>
      <w:spacing/>
      <w:ind/>
    </w:pPr>
  </w:style>
  <w:style w:type="paragraph" w:styleId="911">
    <w:name w:val="table of figures"/>
    <w:basedOn w:val="912"/>
    <w:next w:val="912"/>
    <w:uiPriority w:val="99"/>
    <w:unhideWhenUsed/>
    <w:pPr>
      <w:pBdr/>
      <w:spacing w:after="0" w:afterAutospacing="0"/>
      <w:ind/>
    </w:pPr>
  </w:style>
  <w:style w:type="paragraph" w:styleId="912" w:default="1">
    <w:name w:val="Normal"/>
    <w:qFormat/>
    <w:pPr>
      <w:pBdr/>
      <w:spacing/>
      <w:ind/>
    </w:p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paragraph" w:styleId="916" w:customStyle="1">
    <w:name w:val="ConsPlusTitle"/>
    <w:pPr>
      <w:widowControl w:val="false"/>
      <w:pBdr/>
      <w:spacing w:after="0" w:line="240" w:lineRule="auto"/>
      <w:ind/>
    </w:pPr>
    <w:rPr>
      <w:rFonts w:ascii="Calibri" w:hAnsi="Calibri" w:cs="Calibri" w:eastAsiaTheme="minorEastAsia"/>
      <w:b/>
      <w:lang w:eastAsia="ru-RU"/>
    </w:rPr>
  </w:style>
  <w:style w:type="paragraph" w:styleId="917" w:customStyle="1">
    <w:name w:val="ConsPlusNormal"/>
    <w:pPr>
      <w:widowControl w:val="false"/>
      <w:pBdr/>
      <w:spacing w:after="0" w:line="240" w:lineRule="auto"/>
      <w:ind/>
    </w:pPr>
    <w:rPr>
      <w:rFonts w:ascii="Calibri" w:hAnsi="Calibri" w:cs="Calibri" w:eastAsiaTheme="minorEastAsia"/>
      <w:lang w:eastAsia="ru-RU"/>
    </w:rPr>
  </w:style>
  <w:style w:type="paragraph" w:styleId="918">
    <w:name w:val="Header"/>
    <w:basedOn w:val="912"/>
    <w:link w:val="919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19" w:customStyle="1">
    <w:name w:val="Верхний колонтитул Знак"/>
    <w:basedOn w:val="913"/>
    <w:link w:val="918"/>
    <w:uiPriority w:val="99"/>
    <w:pPr>
      <w:pBdr/>
      <w:spacing/>
      <w:ind/>
    </w:pPr>
  </w:style>
  <w:style w:type="paragraph" w:styleId="920">
    <w:name w:val="Footer"/>
    <w:basedOn w:val="912"/>
    <w:link w:val="921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21" w:customStyle="1">
    <w:name w:val="Нижний колонтитул Знак"/>
    <w:basedOn w:val="913"/>
    <w:link w:val="920"/>
    <w:uiPriority w:val="99"/>
    <w:pPr>
      <w:pBdr/>
      <w:spacing/>
      <w:ind/>
    </w:pPr>
  </w:style>
  <w:style w:type="paragraph" w:styleId="922">
    <w:name w:val="List Paragraph"/>
    <w:basedOn w:val="912"/>
    <w:uiPriority w:val="34"/>
    <w:qFormat/>
    <w:pPr>
      <w:pBdr/>
      <w:spacing w:after="200" w:line="276" w:lineRule="auto"/>
      <w:ind w:left="720"/>
      <w:contextualSpacing w:val="true"/>
    </w:pPr>
  </w:style>
  <w:style w:type="paragraph" w:styleId="923">
    <w:name w:val="Balloon Text"/>
    <w:basedOn w:val="912"/>
    <w:link w:val="924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924" w:customStyle="1">
    <w:name w:val="Текст выноски Знак"/>
    <w:basedOn w:val="913"/>
    <w:link w:val="923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table" w:styleId="925">
    <w:name w:val="Table Grid"/>
    <w:basedOn w:val="914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26">
    <w:name w:val="Placeholder Text"/>
    <w:basedOn w:val="913"/>
    <w:uiPriority w:val="99"/>
    <w:semiHidden/>
    <w:pPr>
      <w:pBdr/>
      <w:spacing/>
      <w:ind/>
    </w:pPr>
    <w:rPr>
      <w:color w:val="808080"/>
    </w:rPr>
  </w:style>
  <w:style w:type="paragraph" w:styleId="927">
    <w:name w:val="Normal (Web)"/>
    <w:basedOn w:val="912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8" w:customStyle="1">
    <w:name w:val="StGen0"/>
    <w:link w:val="929"/>
    <w:pPr>
      <w:pBdr/>
      <w:spacing/>
      <w:ind/>
    </w:pPr>
    <w:rPr>
      <w:rFonts w:ascii="Times New Roman" w:hAnsi="Times New Roman" w:cs="Times New Roman"/>
      <w:sz w:val="28"/>
      <w:szCs w:val="28"/>
    </w:rPr>
  </w:style>
  <w:style w:type="paragraph" w:styleId="929" w:customStyle="1">
    <w:name w:val="StGen1"/>
    <w:basedOn w:val="917"/>
    <w:link w:val="928"/>
    <w:qFormat/>
    <w:pPr>
      <w:keepLines w:val="false"/>
      <w:pBdr/>
      <w:spacing/>
      <w:ind w:right="0" w:firstLine="850" w:left="0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login.consultant.ru/link/?req=doc&amp;base=RLAW363&amp;n=178866&amp;dst=11373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969F2-92D4-4857-B93B-667902F6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>cesi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257</cp:revision>
  <dcterms:created xsi:type="dcterms:W3CDTF">2024-05-14T06:04:00Z</dcterms:created>
  <dcterms:modified xsi:type="dcterms:W3CDTF">2025-06-10T08:58:18Z</dcterms:modified>
</cp:coreProperties>
</file>