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9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Кабинета Министров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Татарстан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 20</w:t>
      </w: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9"/>
        <w:ind w:firstLine="68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№ 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sz w:val="28"/>
          <w:szCs w:val="28"/>
        </w:rPr>
      </w:pPr>
      <w:r/>
      <w:bookmarkStart w:id="0" w:name="P33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Стандарт качества государственной услуги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программ высшего образования -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 </w:t>
      </w:r>
      <w:r>
        <w:rPr>
          <w:rFonts w:ascii="Times New Roman" w:hAnsi="Times New Roman" w:cs="Times New Roman"/>
          <w:sz w:val="28"/>
          <w:szCs w:val="28"/>
        </w:rPr>
        <w:t xml:space="preserve">магистратуры»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numPr>
          <w:ilvl w:val="0"/>
          <w:numId w:val="6"/>
        </w:numPr>
        <w:ind w:left="0" w:right="0" w:hanging="196"/>
        <w:jc w:val="center"/>
        <w:spacing w:after="0" w:line="240" w:lineRule="auto"/>
        <w:widowControl w:val="off"/>
        <w:tabs>
          <w:tab w:val="left" w:pos="2127" w:leader="none"/>
        </w:tabs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 w:eastAsiaTheme="minorHAnsi"/>
          <w:b/>
          <w:sz w:val="28"/>
          <w:szCs w:val="28"/>
        </w:rPr>
        <w:t xml:space="preserve"> </w:t>
      </w:r>
      <w:r>
        <w:rPr>
          <w:rFonts w:ascii="Times New Roman" w:hAnsi="Times New Roman" w:eastAsiaTheme="minorHAnsi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Категории (в том числе льготные) получателей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left="0" w:right="0" w:firstLine="0"/>
        <w:jc w:val="center"/>
        <w:spacing w:after="0" w:line="240" w:lineRule="auto"/>
        <w:widowControl w:val="off"/>
        <w:tabs>
          <w:tab w:val="left" w:pos="2127" w:leader="none"/>
        </w:tabs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  <w:t xml:space="preserve">государственной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Получателями государственной услуги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«Реализация образовательных программ высшего образования -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 магистратуры»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(далее – государственная услуга)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являются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лица, имеющие высшее образование любого уровня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(далее – гражданин, получатель государственной услуги)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pStyle w:val="879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</w:t>
      </w:r>
      <w:r>
        <w:rPr>
          <w:rFonts w:ascii="Times New Roman" w:hAnsi="Times New Roman" w:cs="Times New Roman"/>
          <w:b/>
          <w:sz w:val="28"/>
          <w:szCs w:val="28"/>
        </w:rPr>
        <w:t xml:space="preserve">. Правовые основания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  <w:t xml:space="preserve">Государственная услуга предоставляется в соответствии со следующими законодательными и иными нормативными правовыми актами:</w:t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/>
      <w:hyperlink r:id="rId12" w:tooltip="consultantplus://offline/ref=DEE7102FDBEFEF8DD62882B517E893604B51F79CB393FEA70D6A5FTAKBF" w:history="1">
        <w:r>
          <w:rPr>
            <w:rFonts w:ascii="Times New Roman" w:hAnsi="Times New Roman"/>
            <w:sz w:val="28"/>
            <w:szCs w:val="28"/>
          </w:rPr>
          <w:t xml:space="preserve">Конституция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конституционный закон от 21 марта 2014 года № 6-ФКЗ «О принятии в Российскую Федерацию Республики Крым и образовании в составе Российской Федерации новых субъектов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Республики Крым и города федерального значения Севастополя»;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Трудовой кодекс Российской Федерации;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Закон Российской Федерации от 7 февраля 1992 года № 2300-1 «О защите прав потребителей»;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Федеральный закон от 2 мая 2006 года № 59-ФЗ «О порядке рассмотрения об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ращений граждан Российской Федерации»;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Федеральный закон от 22 июля 2008 года № 123-ФЗ «Технический регламент о требованиях пожарной безопасности»;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Федеральный закон от 5 мая 2014 года № 84-ФЗ «Об особенностях правового регулирования отношений в сфере образования в связи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с принятием в Российскую Федерацию Республики Крым и образованием в составе Российской Федерации новых субъектов – Республики Крым и города федерального значения Севастополя и о внесении изменений в Федеральный закон «Об образовании в Российской Федерации»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(далее – Федеральный закон № 84-ФЗ)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18 сентября 2020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      № 1490 «О лицензировании образовательной деятельности»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20 октября 2021 г.            № 1802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организации, а также о признании утратившими силу некоторых актов и отдельных п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оложений некоторых актов Правительства Российской Федерации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19 мая 2023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               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797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Положения о государственной аккредитации образовательной деятельности и о признании утратившим силу постановления Правительства Российской Федерации от 14 января 2022 г. № 3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Главного государственного санитарного врача Российской Федерации от 28 сентября 2020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28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санитарных правил СП 2.4.3648-20 «Санитарно-эпидемиологические требования к организациям вос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питания и обучения, отдыха и оздоровления детей и молодежи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от 12 сен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тября 2013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1061 «Об утверждении перечней специальностей и направлений подготовки высшего образования»;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от 29 июня 2015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636 «Об утверждении Порядка проведения государственной итоговой аттестации по образовательным программам высшего образования – программам бакалавриата, программам специалитета и программам магистратуры»;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науки и высшего образования Российской Федерации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от 6 апреля 2021 года № 245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                         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22 июля 2021 г. № 645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образцов и описания документов о высшем образовании и о квалификации и приложений к ним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науки и высшего образования Российской Федерации 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27 ноября 2024 года № 821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Порядка приема на обучение по образовательным программам высшего образования - программам бакалавриата, программам специалитета, программам магистратуры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Конституция Республики Татарстан;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Закон Республики Т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атарстан от 22 июля 2013 года №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68-ЗРТ «Об образовании»;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Кабинета Министров Республики Татарстан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30.06.2009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№ 445 «О стандартах качества государственных услуг, оказываемых государственными учреждениями Республики Татарстан»;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Кабинета Министров Республики Татарстан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30.06.2009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 446 «О Порядке проведения оценки соответствия качества фактически предоставляемых государственных услуг установленным стандартам качества государственных услуг Республики Татарстан»;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устав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образовательной организации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локальные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нормативные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акты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образовательной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организации,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содержащие нормы, регулирующие образовательные отношения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иные нормативные правовые акты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1" w:name="sub_103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III. Исчерпывающий перечень документов, необходимых для получения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bookmarkEnd w:id="1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" w:name="sub_103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3.1. При подаче заявления (на русском языке) 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приеме в образовательную организацию гражданин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предъявляет следующие документы:</w:t>
      </w:r>
      <w:bookmarkEnd w:id="2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tbl>
      <w:tblPr>
        <w:tblW w:w="10206" w:type="dxa"/>
        <w:tblInd w:w="-5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0"/>
        <w:gridCol w:w="4230"/>
        <w:gridCol w:w="3260"/>
        <w:gridCol w:w="2126"/>
      </w:tblGrid>
      <w:tr>
        <w:tblPrEx/>
        <w:trPr/>
        <w:tc>
          <w:tcPr>
            <w:tcW w:w="5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42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Перечень документов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Организация, осуществляющая выдачу документа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Срок действия документа со дня его выдачи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20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0"/>
        <w:gridCol w:w="10"/>
        <w:gridCol w:w="4220"/>
        <w:gridCol w:w="3260"/>
        <w:gridCol w:w="2126"/>
      </w:tblGrid>
      <w:tr>
        <w:tblPrEx/>
        <w:trPr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102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граждан Российской Федерации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3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(на русском языке) о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приеме в образовательную организацию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1380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2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Документ, удостоверяющий личность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граждан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ство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территориальные органы Министерства внутренних дел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Российской Федерации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1116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2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высшем образовании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организации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2408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2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 необходимости создания специальных условий при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прове-дении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вступительных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испыта-ний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– документ, подтверждающий ограниченные возможности здоровья или инвалидность, требующие создания указанных условий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учреждения медико-социальной экспертизы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2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Согласие на обработку персональных данных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2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о согласии на зачисление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 поступлении на обучение на места в рамках контрольных цифр приема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10206" w:type="dxa"/>
            <w:textDirection w:val="lrTb"/>
            <w:noWrap w:val="false"/>
          </w:tcPr>
          <w:p>
            <w:pPr>
              <w:pStyle w:val="720"/>
              <w:jc w:val="center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иностранных граждан, лиц без гражданства, в том числе соотечественников, проживающих за рубежом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2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(на русском языке) о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приеме в образовательную организацию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22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Документ, удостоверяющий лич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-ность, гражданство иностран-ного гражданина или лица без гражданства (оригинал или нотариально заверенная копия)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уполномоченный орган иностранного государ-ства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9.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2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 иностранного госу-дарства 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 образовании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(оригинал или нотариально заверенная копия)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выдается иностранным государством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3" w:name="sub_104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IV. Требования к порядку и условиям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bookmarkEnd w:id="3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4" w:name="sub_104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4.1. Государственная услуга предоставляется в целях:</w:t>
      </w:r>
      <w:bookmarkEnd w:id="4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удовлетворения потребностей личности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интеллектуальном, культурном и нравственном развитии посредством получения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удовлетворения потребностей общества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государства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квалифицированных специалистах с высшим образованием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формирования у граждан гражданской позиции и трудолюбия, развития ответственности, самостоятельности и творческой активности;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накопления, сохранения и приумножения нравственных, культурных и научных ценностей общества;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распространения знаний среди населения, повышения его образовательного и культурного уровня.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5" w:name="sub_104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4.2. Государственная услуга предоставляется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образовательных организациях</w:t>
      </w:r>
      <w:bookmarkEnd w:id="5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6" w:name="sub_1043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4.3. Предоставление государственной услуги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образовательных организациях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осуществляется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соответствии с перечнем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направлений подготовки, утверждаемым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bookmarkEnd w:id="6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4.4. Порядок приема в образовательные организации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сфере высшего образования. Правила приема определяются учредителем в соответствии с законодательством Российской Федерации и закрепляются в уставе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4.5. Образ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овательная организация самостоятельно разрабатывает и утверждает ежегодные правила приема, определяющие их особенности на соответствующий год, не противоречащие законодательству Российской Федерации, порядку приема, устанавливаемому федеральным органом исп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и правилам приема, определяемым учредителем и закрепленным в уставе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4.6. Прием граждан в образовательные организации осущест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вляется на конкурсной основе по заявлениям граждан. Условиями конкурса должны быть гарантированы соблюдение прав граждан на образование и зачисление граждан, наиболее способных и подготовленных к освоению образовательной программы соответствующего уровня.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4.7. К освоению программ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магистратуры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допускаются граждане,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высшее образование, подтвержденное документом о высшем образовании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рограмма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магистратуры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может осваиваться в различных формах с учетом потребносте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й, возможностей гражданина и в зависимости от объема обязательных занятий педагогического работника образовательной организации: очной, очно-заочной, заочной формах. Допускается сочетание различных форм получения высшего образования. Перечень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направлений подготовки, по которым получение высшего образования по 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магистратуры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очно-заочной, заочной формах обучения не допускается, устанавливается уполномоченным Правительством Российской Федерации федеральным органом исполнительной власти.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Организация образовательного процесса в образовательной организации осуществляется в соответствии с образовательными программами и расписанием учебных занятий для каждого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направления подготовки и формы получения образования.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бразовательная программа высшего образования обеспе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чивает реализацию федерального государственного образовательного стандарта с учетом вида образовательной организации, образовательных потребностей и запросов обучающихся и включает в себя учебный план, рабочие программы учебных курсов, предметов, дисциплин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(модулей) и другие материалы, обеспечивающие качество подготовки граждан, а также программы учебной и производственной практики, календарный учебный график и методические материалы, обеспечивающие реализацию соответствующей образовательной технологии.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Срок получения образования по программе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магистратуры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определяется в соответствии с федеральными государственными образовательными стандартами высшего образования по соответствующим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направлениям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подготовки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Лица, получившие документы государственного образца о соответствующем уровне высшего образования, подтверждаемого присвоением лицу квалификации (степени)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магистра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», имеют право продолжить на конкурсной основе обучение по образовательной программе высшего образования – программе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подготовки научно-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педагогических кадров в аспирантуре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Получение образования по программе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магистратуры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рассматривается как получение второго высшего образования – гражданами, имеющими диплом специалиста, диплом магистра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диплом об окончании аспирантуры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В образовательной организации учебный год для обучающихся очной и очно-заочной формы обучения начинается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как правило, 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1 сентября и заканчивается согласно рабочем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 учебному плану по конкретному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направлению подготовки.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случае, если 1 сентября является выходным нерабочим днем, учебный год начинается со следующего за выходным рабочего дня.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Сроки начала и окончания учебного года для обучающихся заочной формы обучения устанавливаются рабочим учебным планом.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Срок начала учебного года может переноситься образо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вательной организацией по очно-заочной форме получения образования не более чем на 1 месяц. В иных случаях перенос срока начала учебного года осуществляется по решению органа государственной власти, в ведении которого находится образовательная организация.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В процессе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государственной услуги выполняются следующие мероприятия: лекции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практические занятия, семинары, лабораторные работы, контрольные работы, коллоквиумы, консультации, самостоятельные работы, научно-исследовательские работы, курсовые проектирования (курсовые работы), а также могут проводиться другие виды учебных занятий.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Чи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сленность обучающихся в учебной группе образовательной организации при получении государственной услуги по очной форме обучения в соответствии с гигиеническими требованиями к условиям обучения не должна превышать 25 человек. Исходя из специфики образовател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ьной организации учебные занятия могут проводиться с группами или подгруппами обучающихся меньшей численности, а также с отдельными обучающимися. Образовательная организация вправе объединять группы обучающихся при проведении учебных занятий в виде лекций.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Образовательная организация самостоятельна в выборе системы оценок, формы, порядка и периодичности промежуточной аттестации обучающихся. Положение о текущем контроле знаний и промежуточной аттестации обучающихся утверждается образовательной организацией.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 оценивает качество освоения образовательных программ путем осуществления текущего контроля успеваемости, промежуточной аттестации обучающихся и итоговой аттестации выпускников.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Положение о проведении текущего контроля успеваемости и промежуточной аттестации обучающихся утверждается в порядке, предусмотренном уставом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6"/>
          <w:sz w:val="28"/>
          <w:szCs w:val="28"/>
          <w:lang w:eastAsia="ru-RU"/>
        </w:rPr>
        <w:t xml:space="preserve">Итоговая аттестация выпускника образовательной организации является обязательной и осуществляется после освоения образовательной программы в полном объеме.</w:t>
      </w:r>
      <w:r>
        <w:rPr>
          <w:rFonts w:ascii="Times New Roman" w:hAnsi="Times New Roman" w:eastAsia="Times New Roman"/>
          <w:spacing w:val="-6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6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Государственная итоговая аттестация обучающихся в образовательных организациях, имеющих государственную аккредитацию, осуществляется государственными аттестационными комиссиями в соответствии с положением, утвержденным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Приказом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Министерств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образования и науки Российской Федерации от 29.06.2015 № 636 «Об утверждении Порядка проведения государственной итоговой аттестации по образовательным программам высшего образования – программам бакалавриата,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программам специалитета и программам магистратуры».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Обучающимся выдается студенческий билет и зачетная книжка. Формы студенческого билета и зачетной книжки устанавливаются федеральным органом исполнительной власти, осуществляющим функции по выработке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реализации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государственной политики и нормативно-правовому регулированию в сфере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высшего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16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При получении государственной услуги обучающиеся имеют право пользоваться библиотеками, информационными ресурсами, услугами учебных, социально-бытовых, лечебных и других подразделений образовательной организации в порядке, установленном её уставом.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Обучающимся образовательной организации по очной форме обучения и получающим образование за счет средств соответствующего бюджета в установленном порядке выплачивается государственная академическая и государственная социальная стипендии.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Обучающиеся, нуждающиеся в жилой площади, обеспечиваются местами в общежитии при наличии соответствующего жилищного фонда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Выпускник образовательной организации считается завершившим обучение на основании приказа образовательной организации о его отчислении в связи с полным освоением основной образовательной программы и прохождением государственной итоговой аттестации.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Образовательная организация, имеющая государственную аккредитацию, выдает выпускникам, освоившим 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программу магистратуры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 в полном объеме и прошедшим государственную итоговую аттестацию, документ государственного образца о соответствующем уровне образования – диплом 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магистра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 с государственной символикой Российской Федерации.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Обучающиеся, не прошедшие государственное аттестационное испытание в связи с неявкой на государственное аттестационное испытание по неуважительной причине или в связи с получением оценки «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не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удовлетворительно», а также обучающиеся из числа инвалидов, не прошедшие государственное аттестационное испытание в установленный для них срок (в связи с неявкой на го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сударственное ат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тестационное испытание или получением оценки «неудовлетворительно»), отчисляются из образовательной организации с выдачей справки об обучении как не выполнившие обязанностей по добросовестному освоению образовательной программы и выполнению учебного плана.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V. Требования к материально-техническому обеспечению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8" w:name="sub_105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5.1. Образовательная организация обеспечивает содержание закрепленных за 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 и (или) принадлежащих ему на праве собственности зданий, сооружений, имущества, оборудования и другого имущества потребительского, социального, культурного и иного назначения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9" w:name="sub_1052"/>
      <w:r/>
      <w:bookmarkEnd w:id="8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2. Образовательная организация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должна располагать материально-технической базой, обеспечивающей реализацию государственных требований и соответствующей действующим санитарно-техническим нормам.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0" w:name="sub_1053"/>
      <w:r/>
      <w:bookmarkEnd w:id="9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5.3. Размеры площадей основных и дополнительных помещений образовательной организации приним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аются в соответствии с требованиями санитарных и строительных норм и правил в зависимости от реализуемых образовательных программ, единовременной вместимости, технологии процесса обучения, инженерно-технического оборудования, оснащения необходимой мебелью.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1" w:name="sub_1054"/>
      <w:r/>
      <w:bookmarkEnd w:id="10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5.4. </w:t>
      </w:r>
      <w:bookmarkStart w:id="12" w:name="sub_1055"/>
      <w:r/>
      <w:bookmarkEnd w:id="1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 должна быть оснащена оборудованием, аппаратурой и приборами, отвечающими требованиям санитарно-эпидемиологических правил и норм, стандартов, технических условий, других нормативных документов.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5.5. Образовательная организация создает учебные кабинеты и лаборатории, учебные и учебно-производственные ма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стерские в соответствии с реализуемыми образовательными программами высшего образования. Образовательная организация может иметь в качестве структурного подразделения филиалы, общежития, учебно-производственные хозяйства, учебные полигоны, помещения для за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нятия физкультурой и спортом, библиотеку, помещения для питания обучающихся (буфет, столовая), медицинский пункт и другие структурные подразделения.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5.6. Учебная и производственная практика, предусмотренная федеральными государственными образовательными стандартами высшего образования, осуществляется на основе договоров между образовательной организацией и предприятиями, учреждениями, организаци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ями, в соответствии с которыми указанные предприятия, учреждения, организации независимо от их организационно-правовых форм обязаны предоставлять места для прохождения практики обучающимися образовательной организации, имеющей государственную аккредитацию.</w:t>
      </w:r>
      <w:bookmarkEnd w:id="12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3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VI. Требования к безопасности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3" w:name="sub_106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6.1. Образовательные организации должны быть зарегистрированы в качестве юридического лица в установленном законодательством порядке и иметь:</w:t>
      </w:r>
      <w:bookmarkEnd w:id="13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государственной аккредитации;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постановке на учет юридического лица в налоговом органе по месту нахождения на территории Российской Федерации;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внесении записи в Единый государственный реестр юридических лиц;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3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лицензии на реализуемые образовательные программы.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4" w:name="sub_106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6.2. Помещения образовательной организации должны соответствовать:</w:t>
      </w:r>
      <w:bookmarkEnd w:id="14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требованиям, предусмотренным Федеральным законом от 22 июля 2008 года № 123-ФЗ «Технический регламент о требованиях пожарной безопасности»;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санитарно-эпидемиологическим нормам.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5" w:name="sub_1063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6.3. 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состоянии.</w:t>
      </w:r>
      <w:bookmarkEnd w:id="15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Неисправное специальное оборудование, приборы и аппаратура должны быть заменены, отремонтированы (если они подлежат ремонту) или изъяты из эксплуатации.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6" w:name="sub_1064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6.4.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ее компетенции, за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а также за жизнь и здоровье работников образовательной организации. За нарушение или незаконное ограничение прав на образование и предусмотренных законодательством об образовании прав и свобод обучающих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ся,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  <w:bookmarkEnd w:id="16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VII. Требования, обеспечивающие доступность государственной услуги для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получателей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7" w:name="sub_107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7.1. Объем и структура приема получателей государственной услуги в образовательные организации определяются в государственном задании в порядке, установленном Кабинетом Министров Республики Татарстан.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7.2. Расписание занятий образовательной организации в целях создания наиболее благоприятного режима труда и отдыха составляется с учетом возрастных особенностей обучающихся и установленных санитарно-гигиенических норм, при этом начало занятий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образовательных организациях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должно быть не ранее 8.00, а их окончание – не позднее 20.00.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7.3. В образовательных организациях создаются условия для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государственной услуги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гражданам с ограниченными возможностями здоровья,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том числе инвалидам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путем обеспечения доступности объектов и услуг в соответствии с требованиями, установленными законодательными и иными нормативными правовыми актами.</w:t>
      </w:r>
      <w:bookmarkEnd w:id="17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VIII. Требования к уровню кадрового обеспечения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8" w:name="sub_108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8.1.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должна быть укомплектована квалифицированными специалистами в соответствии со штатным расписанием 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количеством укомплектованных учебных групп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Порядок комплектования персонала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регламентируется 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уставом.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9" w:name="sub_1082"/>
      <w:r/>
      <w:bookmarkEnd w:id="18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8.2. </w:t>
      </w:r>
      <w:bookmarkEnd w:id="19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Право на занятие педагогической деятельностью имеют лица с высшим образованием и отвечающие квалификационным требованиям, указанным в квалификационных справочниках, и (или) профессиональным стандартам.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 педагогической деятельности в образовательной организации не допускаются лица: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лишенные права заниматься педагогической деятельностью в соответствии с вступившим в законную силу приговором суда;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или имевшие судимость, подвергавшиеся уголовному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преследова-нию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(за исключением лиц, уголовное преследование в отношении которых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прекра-щено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ных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условиях, и клеветы), половой неприкосновенности и половой свободы лично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против семьи и несовершеннолетних, здоровья населения и общественной нрав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ственности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основ конституционного строя и безопасности государства, мира и безопасности человечества, а также против общественной безопасности, за исключением случаев, предусмотренных частью третьей статьи 331 Трудового кодекса Российской Федерации;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признанные недееспособными в установленном федеральным законом порядке;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shd w:val="clear" w:color="auto" w:fill="00ff7f"/>
        </w:rPr>
        <w:t xml:space="preserve">имеющие статус иностранного аген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shd w:val="clear" w:color="auto" w:fill="00ff7f"/>
        </w:rPr>
        <w:t xml:space="preserve">та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заболевания, предусмотренные перечнем, утверждаемым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федераль-ным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органом исполнительной власти, осуществляющим функции по выработке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дарственной политики и нормативно-правовому регулированию в области здраво-охранения.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Лица из числа указанных в абзаце третьем настоящего пункта, имевшие суди-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мость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 совершение преступлений небольшой тяжести и преступлений средней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-жести против жизни и здоровья, свободы, чести и достоинства личности (за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исклю-чением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незаконной госпитализации в медицинскую организацию, оказывающую пси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хиатрическую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помощь в стационарных условиях, и клеветы), семьи и несовершеннолетних, здоровья населения и общественной нравственности, основ конституционно-го строя и безопасности государства, мира и безопасности человечества, а также про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тив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общественной безопасности, и лица, уголовное преследование в отношении ко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торых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 обвинению в совершении этих преступлений прекращено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нереабилитирующим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основаниям, могут быть допущены к педагогической деятельности при наличии решения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Республиканской 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омиссии по делам несовершеннолетних и защите их прав о допуске их к педагогической деятельности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0" w:name="sub_1083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8.3. Работники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обязаны соблюдать устав, правила внутреннего распорядка, строго следовать профессиональной этике, качественно выполнять возложенные на них функциональные обязанности.</w:t>
      </w:r>
      <w:bookmarkEnd w:id="20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Педагогические работники обязаны обеспечивать высокую эффективность образовательного процесса, систематически заниматься повышением своей квалификации.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1" w:name="sub_1084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8.4. Педагогические работники имеют право выбирать методы и средства обучения, обеспечивающие высокое качество образовательного процесса.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2" w:name="sub_1085"/>
      <w:r/>
      <w:bookmarkEnd w:id="2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8.5. Дополнительное профессиональное образование педагогических ра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ботников организуется не реже одного раза в три года путем обучения и (или) стажировки в организациях дополнительного профессионального образования, в образовательных организациях и иных организациях в соответствии с законодательством Российской Федерации.</w:t>
      </w:r>
      <w:bookmarkEnd w:id="22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0" w:name="undefined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IX.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Требования к информационному обеспечению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получателей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bookmarkEnd w:id="0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4" w:name="sub_109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9.1. Информация о государственной услуге и образовательной организации должна соответствовать требованиям Закона Российской Федерации от 7 февраля 1992 года № 2300-1 «О защите прав потребителей».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5" w:name="sub_1092"/>
      <w:r/>
      <w:bookmarkEnd w:id="24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9.2. С целью ознакомле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ния граждан с уставом образовательной организации, лицензией на право ведения образовательной деятельности, со свидетельством о государственной аккредитации образовательной организации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реализуемым образовательной организацией, и дру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гими документами, регламентирующими организацию образовательного процесса и работу приемной комиссии, образовательная организация обязана разместить указанные документы на своем официальном сайте в информационно-телекоммуникационной сети «Интернет» (далее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официальный сайт), а также обеспечить свободный доступ в здание образовательной организации к информации, размещенной на информационном стенде (табло) приемной комиссии и (или) в электронной информационной системе (далее вместе - информационный стенд).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9.3.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целях информирования о приеме на обучение на официальном сайте образовательная организация размещает следующую информацию о приеме на обучение: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 не позднее 20 января года приема на обучение (далее - год приема):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а) перечень направлений подготовки, на которые проводится прием на обучение в данном году;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б) правила приема на обучение, утвержденные образовательной организацией;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в) сроки проведения приема на обучение;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г) перечень вступительных испытаний с указанием по каждому вступительному испытанию следующих сведений: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наименование вступительного испытания;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максимальное количество баллов;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минимальное количество баллов;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приоритетность испытания при ранжировании;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для внутреннего вступительного испытания - форма проведения, языки, на которых осуществляется проведение вступительного испытания, программа вступительного испытания;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информация о проведении вступительного испытания очно и (или) с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использованием дистанционных технологий;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особенности проведения вступительного испытания для инвалидов и лиц с ограниченными возможностями здоровья;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д) порядок учета индивидуальных достижений;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е) перечень общих индивидуальных достижений, учитываемых при приеме на обучение;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ж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) информация о необходимости (отсутствии необходимости) прохождения поступающими обязательного предварительного медицинского осмотра (обследования);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з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) информация о местах приема документов, почтовых адресах для направления документов, необходимых для поступления, электронных адресах для взаимодействия с поступающими;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) информация о наличии общежития(ий) для обучающихся;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к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) количество мест для приема на обучение по различным условиям поступления в рамках контрольных цифр приема (без указания квот);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2) не позднее 10 апреля года приема - количество мест для приема на обучение в рамках контрольных цифр приема по различным конкурсным группам, в том числе на места в пределах целевой квоты;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3) не позднее чем за 5 месяцев до начала зачисления на платные места: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количество платных мест;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образец договора об образовании;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4) не позднее 1 июня года приема: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информация о количестве мест в общежитиях для обучающихся;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расписание вступительных испытаний.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9.4. В период приема документов приемная комиссия образовательной организации ежедневно информирует о количестве поданных заявлений, конкурсе и сдаче вст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упительных испытаний по каждому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подготовки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организует функционирование специальных телефонных линий для ответов на все вопросы поступающих.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9.5. Информация о количестве поданных заявлений, конкурсе и результатах сдачи вступительных испытаний должна быть представлена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каждому направлению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подготовки с выделением форм получения образования, указанием программ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специалитета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размещена на официальном сайте образовательной организации и на информационном стенде приемной комиссии.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9.6. Информация об образовательной организации, её государст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венной регистрации, наименовании зарегистрировавшего её органа, объеме государственного задания на очередной финансовый год должна быть размещена на интернет-сайте органа исполнительной власти, выдавшего государственное задание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9.7. 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бразовательная организация обязана своевременно предоставить получателю достоверную информацию о государственной услуге, ознакомить с правилами и условиями получения государственной услуги. В состав информации о государственной услуге должны быть включены: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настоящий Стандарт;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наименование федеральных государственных стандартов высшего образования, обучение по которым ведется в образовательной организации;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об условиях предоставления государственной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возможности влияния получателей государственной услуги на качество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сведения о средствах коммуникации получателей государственной услуги с работниками образовательной организации;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возможности оценки качества государственной услуги со стороны получателя;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предоставлении платных услуг с указанием размера стоимости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правила и условия эффективного и безопасного предоставления государственной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гарантийные обязательства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9.8. Способ и порядок предоставления информации определяются в соответствии с законодательств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Российской Федерации.</w:t>
      </w:r>
      <w:bookmarkEnd w:id="25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ff0000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X.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7" w:name="sub_110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10.1. Основаниями для отказа в предоставлении государственной услуги являются:</w:t>
      </w:r>
      <w:bookmarkEnd w:id="27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отсутствие одного или нескольких документов, приведенных в перечне документов, необходимых для получения государственной услуги, согласно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разделу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III настоящего Стандарта;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получение на вступительных испытаниях или дополнительных вступительных испытаниях результата ниже установленного минимального количества баллов, подтверждающего успешное прохождение вступительных испытаний или дополнительных вступительных испытаний;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неявка без уважительной причины на вступительные испытания или дополнительные вступительные испытания;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наличие медицинских противопоказаний.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10.2. Основаниями для прекращения предоставления государственной услуги являются: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ьность;</w:t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инициативе образовательной организации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ление в образовательную организацию;</w:t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обстоятельствам, не зависящим от воли обучающегося или родителей (законных представителей) несовершеннолетнего обучающегося и образовательной организации, в том числе в случае ликвидации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10.3. Порядок отчисления обучающихся определяется уставом образовательной организации.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1134" w:left="1134" w:header="568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</w:t>
      </w:r>
      <w:r>
        <w:rPr>
          <w:rFonts w:ascii="Times New Roman" w:hAnsi="Times New Roman" w:cs="Times New Roman"/>
          <w:b/>
          <w:sz w:val="28"/>
          <w:szCs w:val="28"/>
        </w:rPr>
        <w:t xml:space="preserve">. Описание результата предоставления государственной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Результат предоставления государственной услуги оценивается следующими индикаторами качества предоставления государственной услуги: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tbl>
      <w:tblPr>
        <w:tblStyle w:val="888"/>
        <w:tblW w:w="4682" w:type="pct"/>
        <w:jc w:val="center"/>
        <w:tblLayout w:type="fixed"/>
        <w:tblLook w:val="04A0" w:firstRow="1" w:lastRow="0" w:firstColumn="1" w:lastColumn="0" w:noHBand="0" w:noVBand="1"/>
      </w:tblPr>
      <w:tblGrid>
        <w:gridCol w:w="3062"/>
        <w:gridCol w:w="1613"/>
        <w:gridCol w:w="4481"/>
        <w:gridCol w:w="1756"/>
        <w:gridCol w:w="1631"/>
        <w:gridCol w:w="1631"/>
      </w:tblGrid>
      <w:tr>
        <w:tblPrEx/>
        <w:trPr>
          <w:cantSplit/>
          <w:jc w:val="center"/>
          <w:trHeight w:val="964"/>
        </w:trPr>
        <w:tc>
          <w:tcPr>
            <w:tcW w:w="30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Наименование показателя оценки качества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Единица измерения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Формула расчета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5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Весовой коэффициент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6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Пороговое значение</w:t>
            </w:r>
            <w:r>
              <w:rPr>
                <w:rFonts w:ascii="Times New Roman" w:hAnsi="Times New Roman" w:eastAsiaTheme="minorHAns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показателя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163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Источник информации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249"/>
        </w:trPr>
        <w:tc>
          <w:tcPr>
            <w:tcW w:w="306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1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48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175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163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163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6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cantSplit/>
          <w:jc w:val="center"/>
          <w:trHeight w:val="1134"/>
        </w:trPr>
        <w:tc>
          <w:tcPr>
            <w:tcW w:w="3062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1. Доля выпускников, получивших диплом о высшем образовании, в общей численности выпускников по программам высшего образования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Times New Roman" w:hAnsi="Times New Roman"/>
                          </w:rPr>
                          <m:rPr>
                            <m:nor m:val="on"/>
                          </m:rPr>
                          <m:t>В</m:t>
                        </m:r>
                      </m:e>
                      <m:sub>
                        <m:r>
                          <w:rPr>
                            <w:rFonts w:ascii="Times New Roman" w:hAnsi="Times New Roman"/>
                          </w:rPr>
                          <m:rPr>
                            <m:nor m:val="on"/>
                          </m:rPr>
                          <m:t>д</m:t>
                        </m:r>
                      </m:sub>
                    </m:sSub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В</m:t>
                    </m:r>
                  </m:den>
                </m:f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 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</w:rPr>
            </w:pP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       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В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д</m:t>
                  </m:r>
                </m:sub>
              </m:sSub>
              <m:r>
                <w:rPr>
                  <w:rFonts w:ascii="Cambria Math" w:hAnsi="Cambria Math" w:eastAsia="Times New Roman"/>
                </w:rPr>
                <m:rPr/>
                <m:t> </m:t>
              </m:r>
            </m:oMath>
            <w:r>
              <w:rPr>
                <w:rFonts w:ascii="Times New Roman" w:hAnsi="Times New Roman" w:eastAsia="Times New Roman"/>
              </w:rPr>
              <w:t xml:space="preserve"> – число выпускников образовательной</w:t>
            </w:r>
            <w:r>
              <w:rPr>
                <w:rFonts w:ascii="Times New Roman" w:hAnsi="Times New Roman" w:eastAsia="Times New Roman"/>
              </w:rPr>
              <w:t xml:space="preserve"> организации</w:t>
            </w:r>
            <w:r>
              <w:rPr>
                <w:rFonts w:ascii="Times New Roman" w:hAnsi="Times New Roman" w:eastAsia="Times New Roman"/>
              </w:rPr>
              <w:t xml:space="preserve"> программам </w:t>
            </w:r>
            <w:r>
              <w:rPr>
                <w:rFonts w:ascii="Times New Roman" w:hAnsi="Times New Roman" w:eastAsia="Times New Roman"/>
              </w:rPr>
              <w:t xml:space="preserve">магистратуры</w:t>
            </w:r>
            <w:r>
              <w:rPr>
                <w:rFonts w:ascii="Times New Roman" w:hAnsi="Times New Roman" w:eastAsia="Times New Roman"/>
              </w:rPr>
              <w:t xml:space="preserve">, получивших диплом о высшем образовании;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 – общая численность выпускников по программам высшего образования – программам </w:t>
            </w:r>
            <w:r>
              <w:rPr>
                <w:rFonts w:ascii="Times New Roman" w:hAnsi="Times New Roman" w:eastAsia="Times New Roman"/>
              </w:rPr>
              <w:t xml:space="preserve">магистратуры</w:t>
            </w:r>
            <w:r>
              <w:rPr>
                <w:rFonts w:ascii="Times New Roman" w:hAnsi="Times New Roman" w:eastAsia="Times New Roman"/>
              </w:rPr>
              <w:t xml:space="preserve">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56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31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100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31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форма федерального статистического наблюдения № ВПО-1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pStyle w:val="720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«Сведения об образовательной организации, осуществляющей образовательную деятельность по образовательным программам высшего образования» (утверждена приказом Федеральной службы государственной статистики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18.09.2024 № 419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jc w:val="center"/>
        </w:trPr>
        <w:tc>
          <w:tcPr>
            <w:tcW w:w="3062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2. Доля получателей </w:t>
            </w:r>
            <w:r>
              <w:rPr>
                <w:rFonts w:ascii="Times New Roman" w:hAnsi="Times New Roman" w:eastAsia="Times New Roman"/>
              </w:rPr>
              <w:t xml:space="preserve">государст</w:t>
            </w:r>
            <w:r>
              <w:rPr>
                <w:rFonts w:ascii="Times New Roman" w:hAnsi="Times New Roman" w:eastAsia="Times New Roman"/>
              </w:rPr>
              <w:t xml:space="preserve">венной услуги, удовлетворенных качеством и доступностью услуги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4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eastAsia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О</m:t>
                            </m:r>
                          </m:e>
                          <m:sub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к</m:t>
                            </m:r>
                          </m:sub>
                        </m:sSub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+ 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О</m:t>
                            </m:r>
                          </m:e>
                          <m:sub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д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2</m:t>
                        </m:r>
                      </m:den>
                    </m:f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общ</m:t>
                        </m:r>
                      </m:sub>
                    </m:sSub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</w:rPr>
            </w:pP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к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число опрошенных, удовлетворенных качеством услуг;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д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число опрошенных, удовлетворенных доступностью услуг;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общ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–</w:t>
            </w:r>
            <w:r>
              <w:rPr>
                <w:rFonts w:ascii="Times New Roman" w:hAnsi="Times New Roman" w:eastAsia="Times New Roman"/>
              </w:rPr>
              <w:t xml:space="preserve"> общее число опрошенных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56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31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3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пределяется по результатам опросов обучающихся, их родителей (законных представителей) и работодателей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jc w:val="center"/>
        </w:trPr>
        <w:tc>
          <w:tcPr>
            <w:tcW w:w="3062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3. Доля обоснованных жалоб получателей государственной услуги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/>
                          <m:t>Ж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/>
                          <m:t>о</m:t>
                        </m:r>
                      </m:sub>
                    </m:sSub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Ж</m:t>
                    </m:r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</w:rPr>
            </w:pP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Ж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число обоснованных жалоб получателей государственной услуги, поступивших в отчетный период;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Ж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общее число жалоб получателей государственной услуги, поступивших в отчетный период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56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31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3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определяется на основании анализа жалоб, поступивших в виде писем по почте либо электронной почте, и сведений о принятых по ним мерах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jc w:val="center"/>
          <w:trHeight w:val="703"/>
        </w:trPr>
        <w:tc>
          <w:tcPr>
            <w:tcW w:w="3062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4. Доля профессорско-преподавательского состава (далее – ППС) с учеными степенями и званиями, работающего в образовательной </w:t>
            </w:r>
            <w:r>
              <w:rPr>
                <w:rFonts w:ascii="Times New Roman" w:hAnsi="Times New Roman" w:eastAsia="Times New Roman"/>
              </w:rPr>
              <w:t xml:space="preserve">организации </w:t>
            </w:r>
            <w:r>
              <w:rPr>
                <w:rFonts w:ascii="Times New Roman" w:hAnsi="Times New Roman" w:eastAsia="Times New Roman"/>
              </w:rPr>
              <w:t xml:space="preserve">на штатной основе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13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r>
                      <w:rPr>
                        <w:rFonts w:ascii="Cambria Math" w:hAnsi="Cambria Math" w:eastAsia="Times New Roman"/>
                      </w:rPr>
                      <m:rPr/>
                      <m:t>А</m:t>
                    </m:r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В</m:t>
                    </m:r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</w:rPr>
            </w:pP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  <w:br/>
              <w:t xml:space="preserve"> А – число ППС с учеными степенями и званиями, работающего на штатной основе;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 – общее количество ППС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56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31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60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31" w:type="dxa"/>
            <w:textDirection w:val="lrTb"/>
            <w:noWrap w:val="false"/>
          </w:tcPr>
          <w:p>
            <w:pPr>
              <w:pStyle w:val="720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ф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орма федерального статистического наблюдения № ВПО-1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pStyle w:val="720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«Сведения об образовательной организации, осуществляющей образовательную деятельность по образовательным программам высшего образования» (утверждена приказом Федеральной службы государственной статистики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18.09.2024 № 419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</w:tbl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rPr>
          <w:lang w:eastAsia="ru-RU"/>
        </w:rPr>
        <w:sectPr>
          <w:footnotePr/>
          <w:endnotePr/>
          <w:type w:val="nextPage"/>
          <w:pgSz w:w="16838" w:h="11906" w:orient="landscape"/>
          <w:pgMar w:top="1134" w:right="567" w:bottom="1021" w:left="1134" w:header="709" w:footer="709" w:gutter="0"/>
          <w:cols w:num="1" w:sep="0" w:space="708" w:equalWidth="1"/>
          <w:docGrid w:linePitch="360"/>
        </w:sect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Порядок подачи, регистрации и рассмотрения жалоб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несоблюдение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Стандарта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79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12.1. Жалоба на нарушение порядка предоставления государственной услуги (далее – жалоб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а) подается в письменной форме на бумажном носителе или в электронной форме в образовательную организацию. Жалобы на решения и действия (бездействие) руководителя образовательной организации подаются </w:t>
      </w:r>
      <w:r>
        <w:rPr>
          <w:rFonts w:ascii="Times New Roman" w:hAnsi="Times New Roman"/>
          <w:sz w:val="28"/>
          <w:szCs w:val="28"/>
        </w:rPr>
        <w:t xml:space="preserve">получателем государственной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в Министерство образования и науки Республики Татарстан.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9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12.2. Жалоба на решения и действия (бездействие) образовательной организации, руководителя образовательной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организации, работника образовательной организации может быть направлена по почте, с использованием информационно-телекоммуникационной сети «Интернет», официального сайта образовательной организации, официального сайта Министерства образования и науки Рес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публики Татарстан, единого портала государственных услуг Российской Федерации (www.gosuslugi.ru), либо портала государственных услуг Республики Татарстан (uslugi.tatarstan.ru), а также может быть принята при личном приеме получателя государственной услуги.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9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12.3. Жалоба должна отвечать требованиям, установленным законодательством.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9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12.4. Жалоба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образовательной организации, долж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ностного лица образовательной организации в приеме документов у гражданина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9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12.5. По результатам рассмотрения жалобы в соответствии с законодательством при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нимается решение и не позднее дня, следующего за днем его принятия, </w:t>
      </w:r>
      <w:r>
        <w:rPr>
          <w:rFonts w:ascii="Times New Roman" w:hAnsi="Times New Roman"/>
          <w:sz w:val="28"/>
          <w:szCs w:val="28"/>
        </w:rPr>
        <w:t xml:space="preserve">получателю государственной услуги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в письменной форме и по желанию </w:t>
      </w:r>
      <w:r>
        <w:rPr>
          <w:rFonts w:ascii="Times New Roman" w:hAnsi="Times New Roman"/>
          <w:sz w:val="28"/>
          <w:szCs w:val="28"/>
        </w:rPr>
        <w:t xml:space="preserve">получателя государственной услуги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в электронной форме направляется мотивированный ответ о результатах рассмотрения жалобы.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9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12.6. В случае признания жалобы подлежащей удовлетворению в ответе </w:t>
      </w:r>
      <w:r>
        <w:rPr>
          <w:rFonts w:ascii="Times New Roman" w:hAnsi="Times New Roman"/>
          <w:sz w:val="28"/>
          <w:szCs w:val="28"/>
        </w:rPr>
        <w:t xml:space="preserve">получателю государственной услуги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дается информация о действиях, осуществляемых образовательной организацией, в целях незамедлительного устранения выявленных наруше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ний при предоставлении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гражданину в целях получения государственной услуги.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9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12.7. В случае признания жалобы не подлежащей удовлетворению в ответе получателю государственной услуги даются аргументированные разъяснения о причинах принятого решения, а также информация о порядке обжалования принятого решения.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9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12.8. В случае удовле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творения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9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12.9. П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олучатель государственной услуги вправе обжаловать решения и действия (бездействие) должностных лиц образовательных организаций, связанные с предоставлением государственной услуги, в судебном порядке в соответствии с законодательством Российской Федерации.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Порядок контроля за предоставлением государственной услуги со стороны органов государственной власти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13.1. Контроль за соблюдением образовательной организацией </w:t>
      </w:r>
      <w:r>
        <w:rPr>
          <w:rFonts w:ascii="Times New Roman" w:hAnsi="Times New Roman" w:cs="Times New Roman"/>
          <w:sz w:val="28"/>
          <w:szCs w:val="28"/>
        </w:rPr>
        <w:t xml:space="preserve">независимо от ее организационно-правовой формы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лицензией </w:t>
      </w:r>
      <w:r>
        <w:rPr>
          <w:rFonts w:ascii="Times New Roman" w:hAnsi="Times New Roman" w:cs="Times New Roman"/>
          <w:sz w:val="28"/>
          <w:szCs w:val="28"/>
        </w:rPr>
        <w:t xml:space="preserve">условий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орган управления образованием, выдавший лицензию. В случае нарушения этих условий лицензия подлежит изъятию.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13.2.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аттестационная служба мож</w:t>
      </w:r>
      <w:r>
        <w:rPr>
          <w:rFonts w:ascii="Times New Roman" w:hAnsi="Times New Roman" w:cs="Times New Roman"/>
          <w:sz w:val="28"/>
          <w:szCs w:val="28"/>
        </w:rPr>
        <w:t xml:space="preserve">ет направить образовательной организации, имеющей государственную аккредитацию, рекламацию на качество образования и (или) несоответствие образования требованиям соответствующего федерального государственного образовательного стандарта высшего образования.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13.3.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предоставлением государственной услуги со стороны органов государственной власти осуществляется в соответствии с </w:t>
      </w:r>
      <w:hyperlink r:id="rId13" w:tooltip="consultantplus://offline/ref=5948FCC1EAA9EC899B0F1DF4E12881279662199E534A15D450CDA8942C3ABE4ADAqFM" w:history="1">
        <w:r>
          <w:rPr>
            <w:rFonts w:ascii="Times New Roman" w:hAnsi="Times New Roman" w:cs="Times New Roman"/>
            <w:sz w:val="28"/>
            <w:szCs w:val="28"/>
          </w:rPr>
          <w:t xml:space="preserve"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Кабинета Министров Респуб</w:t>
      </w:r>
      <w:r>
        <w:rPr>
          <w:rFonts w:ascii="Times New Roman" w:hAnsi="Times New Roman" w:cs="Times New Roman"/>
          <w:sz w:val="28"/>
          <w:szCs w:val="28"/>
        </w:rPr>
        <w:t xml:space="preserve">лики Татарстан от 30.06.2009 № 446 «О Порядке проведения оценки соответствия качества фактически предоставляемых государственных услуг установленным стандартам качества государственных услуг, оказываемых государственными учреждениями Республики Татарстан».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XIV</w:t>
      </w:r>
      <w:r>
        <w:rPr>
          <w:rFonts w:ascii="Times New Roman" w:hAnsi="Times New Roman" w:cs="Times New Roman"/>
          <w:b/>
          <w:sz w:val="28"/>
          <w:szCs w:val="28"/>
        </w:rPr>
        <w:t xml:space="preserve">. Информация о предоставлении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плату или бесплатно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бесплатно.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134" w:header="567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67450029"/>
      <w:docPartObj>
        <w:docPartGallery w:val="Page Numbers (Top of Page)"/>
        <w:docPartUnique w:val="true"/>
      </w:docPartObj>
      <w:rPr/>
    </w:sdtPr>
    <w:sdtContent>
      <w:p>
        <w:pPr>
          <w:pStyle w:val="882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20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</w:r>
      </w:p>
    </w:sdtContent>
  </w:sdt>
  <w:p>
    <w:pPr>
      <w:pStyle w:val="88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  <w:jc w:val="both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80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2">
    <w:name w:val="Heading 1"/>
    <w:basedOn w:val="875"/>
    <w:next w:val="875"/>
    <w:link w:val="70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3">
    <w:name w:val="Heading 1 Char"/>
    <w:basedOn w:val="876"/>
    <w:link w:val="702"/>
    <w:uiPriority w:val="9"/>
    <w:rPr>
      <w:rFonts w:ascii="Arial" w:hAnsi="Arial" w:eastAsia="Arial" w:cs="Arial"/>
      <w:sz w:val="40"/>
      <w:szCs w:val="40"/>
    </w:rPr>
  </w:style>
  <w:style w:type="paragraph" w:styleId="704">
    <w:name w:val="Heading 2"/>
    <w:basedOn w:val="875"/>
    <w:next w:val="875"/>
    <w:link w:val="70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5">
    <w:name w:val="Heading 2 Char"/>
    <w:basedOn w:val="876"/>
    <w:link w:val="704"/>
    <w:uiPriority w:val="9"/>
    <w:rPr>
      <w:rFonts w:ascii="Arial" w:hAnsi="Arial" w:eastAsia="Arial" w:cs="Arial"/>
      <w:sz w:val="34"/>
    </w:rPr>
  </w:style>
  <w:style w:type="paragraph" w:styleId="706">
    <w:name w:val="Heading 3"/>
    <w:basedOn w:val="875"/>
    <w:next w:val="875"/>
    <w:link w:val="70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7">
    <w:name w:val="Heading 3 Char"/>
    <w:basedOn w:val="876"/>
    <w:link w:val="706"/>
    <w:uiPriority w:val="9"/>
    <w:rPr>
      <w:rFonts w:ascii="Arial" w:hAnsi="Arial" w:eastAsia="Arial" w:cs="Arial"/>
      <w:sz w:val="30"/>
      <w:szCs w:val="30"/>
    </w:rPr>
  </w:style>
  <w:style w:type="paragraph" w:styleId="708">
    <w:name w:val="Heading 4"/>
    <w:basedOn w:val="875"/>
    <w:next w:val="875"/>
    <w:link w:val="7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9">
    <w:name w:val="Heading 4 Char"/>
    <w:basedOn w:val="876"/>
    <w:link w:val="708"/>
    <w:uiPriority w:val="9"/>
    <w:rPr>
      <w:rFonts w:ascii="Arial" w:hAnsi="Arial" w:eastAsia="Arial" w:cs="Arial"/>
      <w:b/>
      <w:bCs/>
      <w:sz w:val="26"/>
      <w:szCs w:val="26"/>
    </w:rPr>
  </w:style>
  <w:style w:type="paragraph" w:styleId="710">
    <w:name w:val="Heading 5"/>
    <w:basedOn w:val="875"/>
    <w:next w:val="875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1">
    <w:name w:val="Heading 5 Char"/>
    <w:basedOn w:val="876"/>
    <w:link w:val="710"/>
    <w:uiPriority w:val="9"/>
    <w:rPr>
      <w:rFonts w:ascii="Arial" w:hAnsi="Arial" w:eastAsia="Arial" w:cs="Arial"/>
      <w:b/>
      <w:bCs/>
      <w:sz w:val="24"/>
      <w:szCs w:val="24"/>
    </w:rPr>
  </w:style>
  <w:style w:type="paragraph" w:styleId="712">
    <w:name w:val="Heading 6"/>
    <w:basedOn w:val="875"/>
    <w:next w:val="875"/>
    <w:link w:val="7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3">
    <w:name w:val="Heading 6 Char"/>
    <w:basedOn w:val="876"/>
    <w:link w:val="712"/>
    <w:uiPriority w:val="9"/>
    <w:rPr>
      <w:rFonts w:ascii="Arial" w:hAnsi="Arial" w:eastAsia="Arial" w:cs="Arial"/>
      <w:b/>
      <w:bCs/>
      <w:sz w:val="22"/>
      <w:szCs w:val="22"/>
    </w:rPr>
  </w:style>
  <w:style w:type="paragraph" w:styleId="714">
    <w:name w:val="Heading 7"/>
    <w:basedOn w:val="875"/>
    <w:next w:val="875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5">
    <w:name w:val="Heading 7 Char"/>
    <w:basedOn w:val="876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6">
    <w:name w:val="Heading 8"/>
    <w:basedOn w:val="875"/>
    <w:next w:val="875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7">
    <w:name w:val="Heading 8 Char"/>
    <w:basedOn w:val="876"/>
    <w:link w:val="716"/>
    <w:uiPriority w:val="9"/>
    <w:rPr>
      <w:rFonts w:ascii="Arial" w:hAnsi="Arial" w:eastAsia="Arial" w:cs="Arial"/>
      <w:i/>
      <w:iCs/>
      <w:sz w:val="22"/>
      <w:szCs w:val="22"/>
    </w:rPr>
  </w:style>
  <w:style w:type="paragraph" w:styleId="718">
    <w:name w:val="Heading 9"/>
    <w:basedOn w:val="875"/>
    <w:next w:val="875"/>
    <w:link w:val="7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9">
    <w:name w:val="Heading 9 Char"/>
    <w:basedOn w:val="876"/>
    <w:link w:val="718"/>
    <w:uiPriority w:val="9"/>
    <w:rPr>
      <w:rFonts w:ascii="Arial" w:hAnsi="Arial" w:eastAsia="Arial" w:cs="Arial"/>
      <w:i/>
      <w:iCs/>
      <w:sz w:val="21"/>
      <w:szCs w:val="21"/>
    </w:rPr>
  </w:style>
  <w:style w:type="paragraph" w:styleId="720">
    <w:name w:val="No Spacing"/>
    <w:uiPriority w:val="1"/>
    <w:qFormat/>
    <w:pPr>
      <w:spacing w:before="0" w:after="0" w:line="240" w:lineRule="auto"/>
    </w:pPr>
  </w:style>
  <w:style w:type="paragraph" w:styleId="721">
    <w:name w:val="Title"/>
    <w:basedOn w:val="875"/>
    <w:next w:val="875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>
    <w:name w:val="Title Char"/>
    <w:basedOn w:val="876"/>
    <w:link w:val="721"/>
    <w:uiPriority w:val="10"/>
    <w:rPr>
      <w:sz w:val="48"/>
      <w:szCs w:val="48"/>
    </w:rPr>
  </w:style>
  <w:style w:type="paragraph" w:styleId="723">
    <w:name w:val="Subtitle"/>
    <w:basedOn w:val="875"/>
    <w:next w:val="875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>
    <w:name w:val="Subtitle Char"/>
    <w:basedOn w:val="876"/>
    <w:link w:val="723"/>
    <w:uiPriority w:val="11"/>
    <w:rPr>
      <w:sz w:val="24"/>
      <w:szCs w:val="24"/>
    </w:rPr>
  </w:style>
  <w:style w:type="paragraph" w:styleId="725">
    <w:name w:val="Quote"/>
    <w:basedOn w:val="875"/>
    <w:next w:val="875"/>
    <w:link w:val="726"/>
    <w:uiPriority w:val="29"/>
    <w:qFormat/>
    <w:pPr>
      <w:ind w:left="720" w:right="720"/>
    </w:pPr>
    <w:rPr>
      <w:i/>
    </w:rPr>
  </w:style>
  <w:style w:type="character" w:styleId="726">
    <w:name w:val="Quote Char"/>
    <w:link w:val="725"/>
    <w:uiPriority w:val="29"/>
    <w:rPr>
      <w:i/>
    </w:rPr>
  </w:style>
  <w:style w:type="paragraph" w:styleId="727">
    <w:name w:val="Intense Quote"/>
    <w:basedOn w:val="875"/>
    <w:next w:val="875"/>
    <w:link w:val="7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>
    <w:name w:val="Intense Quote Char"/>
    <w:link w:val="727"/>
    <w:uiPriority w:val="30"/>
    <w:rPr>
      <w:i/>
    </w:rPr>
  </w:style>
  <w:style w:type="character" w:styleId="729">
    <w:name w:val="Header Char"/>
    <w:basedOn w:val="876"/>
    <w:link w:val="882"/>
    <w:uiPriority w:val="99"/>
  </w:style>
  <w:style w:type="character" w:styleId="730">
    <w:name w:val="Footer Char"/>
    <w:basedOn w:val="876"/>
    <w:link w:val="894"/>
    <w:uiPriority w:val="99"/>
  </w:style>
  <w:style w:type="paragraph" w:styleId="731">
    <w:name w:val="Caption"/>
    <w:basedOn w:val="875"/>
    <w:next w:val="87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894"/>
    <w:uiPriority w:val="99"/>
  </w:style>
  <w:style w:type="table" w:styleId="733">
    <w:name w:val="Table Grid Light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basedOn w:val="8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>
    <w:name w:val="Grid Table 4 - Accent 1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2">
    <w:name w:val="Grid Table 4 - Accent 2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Grid Table 4 - Accent 3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4">
    <w:name w:val="Grid Table 4 - Accent 4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Grid Table 4 - Accent 5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6">
    <w:name w:val="Grid Table 4 - Accent 6"/>
    <w:basedOn w:val="8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7">
    <w:name w:val="Grid Table 5 Dark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4">
    <w:name w:val="Grid Table 6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6">
    <w:name w:val="Grid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7">
    <w:name w:val="Grid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8">
    <w:name w:val="Grid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9">
    <w:name w:val="Grid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0">
    <w:name w:val="Grid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7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6">
    <w:name w:val="List Table 2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7">
    <w:name w:val="List Table 2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8">
    <w:name w:val="List Table 2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9">
    <w:name w:val="List Table 2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0">
    <w:name w:val="List Table 2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1">
    <w:name w:val="List Table 2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6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4">
    <w:name w:val="List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5">
    <w:name w:val="List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List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7">
    <w:name w:val="List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List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9">
    <w:name w:val="List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0">
    <w:name w:val="List Table 7 Colorful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1">
    <w:name w:val="List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2">
    <w:name w:val="List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3">
    <w:name w:val="List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4">
    <w:name w:val="List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5">
    <w:name w:val="List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6">
    <w:name w:val="List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7">
    <w:name w:val="Lined - Accent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Lined - Accent 1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Lined - Accent 2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Lined - Accent 3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Lined - Accent 4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Lined - Accent 5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Lined - Accent 6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 &amp; Lined - Accent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Bordered &amp; Lined - Accent 1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Bordered &amp; Lined - Accent 2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Bordered &amp; Lined - Accent 3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Bordered &amp; Lined - Accent 4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Bordered &amp; Lined - Accent 5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Bordered &amp; Lined - Accent 6"/>
    <w:basedOn w:val="8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2">
    <w:name w:val="Bordered - Accent 1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3">
    <w:name w:val="Bordered - Accent 2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4">
    <w:name w:val="Bordered - Accent 3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5">
    <w:name w:val="Bordered - Accent 4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6">
    <w:name w:val="Bordered - Accent 5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7">
    <w:name w:val="Bordered - Accent 6"/>
    <w:basedOn w:val="8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8">
    <w:name w:val="footnote text"/>
    <w:basedOn w:val="875"/>
    <w:link w:val="859"/>
    <w:uiPriority w:val="99"/>
    <w:semiHidden/>
    <w:unhideWhenUsed/>
    <w:pPr>
      <w:spacing w:after="40" w:line="240" w:lineRule="auto"/>
    </w:pPr>
    <w:rPr>
      <w:sz w:val="18"/>
    </w:rPr>
  </w:style>
  <w:style w:type="character" w:styleId="859">
    <w:name w:val="Footnote Text Char"/>
    <w:link w:val="858"/>
    <w:uiPriority w:val="99"/>
    <w:rPr>
      <w:sz w:val="18"/>
    </w:rPr>
  </w:style>
  <w:style w:type="character" w:styleId="860">
    <w:name w:val="footnote reference"/>
    <w:basedOn w:val="876"/>
    <w:uiPriority w:val="99"/>
    <w:unhideWhenUsed/>
    <w:rPr>
      <w:vertAlign w:val="superscript"/>
    </w:rPr>
  </w:style>
  <w:style w:type="paragraph" w:styleId="861">
    <w:name w:val="endnote text"/>
    <w:basedOn w:val="875"/>
    <w:link w:val="862"/>
    <w:uiPriority w:val="99"/>
    <w:semiHidden/>
    <w:unhideWhenUsed/>
    <w:pPr>
      <w:spacing w:after="0" w:line="240" w:lineRule="auto"/>
    </w:pPr>
    <w:rPr>
      <w:sz w:val="20"/>
    </w:rPr>
  </w:style>
  <w:style w:type="character" w:styleId="862">
    <w:name w:val="Endnote Text Char"/>
    <w:link w:val="861"/>
    <w:uiPriority w:val="99"/>
    <w:rPr>
      <w:sz w:val="20"/>
    </w:rPr>
  </w:style>
  <w:style w:type="character" w:styleId="863">
    <w:name w:val="endnote reference"/>
    <w:basedOn w:val="876"/>
    <w:uiPriority w:val="99"/>
    <w:semiHidden/>
    <w:unhideWhenUsed/>
    <w:rPr>
      <w:vertAlign w:val="superscript"/>
    </w:rPr>
  </w:style>
  <w:style w:type="paragraph" w:styleId="864">
    <w:name w:val="toc 1"/>
    <w:basedOn w:val="875"/>
    <w:next w:val="875"/>
    <w:uiPriority w:val="39"/>
    <w:unhideWhenUsed/>
    <w:pPr>
      <w:ind w:left="0" w:right="0" w:firstLine="0"/>
      <w:spacing w:after="57"/>
    </w:pPr>
  </w:style>
  <w:style w:type="paragraph" w:styleId="865">
    <w:name w:val="toc 2"/>
    <w:basedOn w:val="875"/>
    <w:next w:val="875"/>
    <w:uiPriority w:val="39"/>
    <w:unhideWhenUsed/>
    <w:pPr>
      <w:ind w:left="283" w:right="0" w:firstLine="0"/>
      <w:spacing w:after="57"/>
    </w:pPr>
  </w:style>
  <w:style w:type="paragraph" w:styleId="866">
    <w:name w:val="toc 3"/>
    <w:basedOn w:val="875"/>
    <w:next w:val="875"/>
    <w:uiPriority w:val="39"/>
    <w:unhideWhenUsed/>
    <w:pPr>
      <w:ind w:left="567" w:right="0" w:firstLine="0"/>
      <w:spacing w:after="57"/>
    </w:pPr>
  </w:style>
  <w:style w:type="paragraph" w:styleId="867">
    <w:name w:val="toc 4"/>
    <w:basedOn w:val="875"/>
    <w:next w:val="875"/>
    <w:uiPriority w:val="39"/>
    <w:unhideWhenUsed/>
    <w:pPr>
      <w:ind w:left="850" w:right="0" w:firstLine="0"/>
      <w:spacing w:after="57"/>
    </w:pPr>
  </w:style>
  <w:style w:type="paragraph" w:styleId="868">
    <w:name w:val="toc 5"/>
    <w:basedOn w:val="875"/>
    <w:next w:val="875"/>
    <w:uiPriority w:val="39"/>
    <w:unhideWhenUsed/>
    <w:pPr>
      <w:ind w:left="1134" w:right="0" w:firstLine="0"/>
      <w:spacing w:after="57"/>
    </w:pPr>
  </w:style>
  <w:style w:type="paragraph" w:styleId="869">
    <w:name w:val="toc 6"/>
    <w:basedOn w:val="875"/>
    <w:next w:val="875"/>
    <w:uiPriority w:val="39"/>
    <w:unhideWhenUsed/>
    <w:pPr>
      <w:ind w:left="1417" w:right="0" w:firstLine="0"/>
      <w:spacing w:after="57"/>
    </w:pPr>
  </w:style>
  <w:style w:type="paragraph" w:styleId="870">
    <w:name w:val="toc 7"/>
    <w:basedOn w:val="875"/>
    <w:next w:val="875"/>
    <w:uiPriority w:val="39"/>
    <w:unhideWhenUsed/>
    <w:pPr>
      <w:ind w:left="1701" w:right="0" w:firstLine="0"/>
      <w:spacing w:after="57"/>
    </w:pPr>
  </w:style>
  <w:style w:type="paragraph" w:styleId="871">
    <w:name w:val="toc 8"/>
    <w:basedOn w:val="875"/>
    <w:next w:val="875"/>
    <w:uiPriority w:val="39"/>
    <w:unhideWhenUsed/>
    <w:pPr>
      <w:ind w:left="1984" w:right="0" w:firstLine="0"/>
      <w:spacing w:after="57"/>
    </w:pPr>
  </w:style>
  <w:style w:type="paragraph" w:styleId="872">
    <w:name w:val="toc 9"/>
    <w:basedOn w:val="875"/>
    <w:next w:val="875"/>
    <w:uiPriority w:val="39"/>
    <w:unhideWhenUsed/>
    <w:pPr>
      <w:ind w:left="2268" w:right="0" w:firstLine="0"/>
      <w:spacing w:after="57"/>
    </w:pPr>
  </w:style>
  <w:style w:type="paragraph" w:styleId="873">
    <w:name w:val="TOC Heading"/>
    <w:uiPriority w:val="39"/>
    <w:unhideWhenUsed/>
  </w:style>
  <w:style w:type="paragraph" w:styleId="874">
    <w:name w:val="table of figures"/>
    <w:basedOn w:val="875"/>
    <w:next w:val="875"/>
    <w:uiPriority w:val="99"/>
    <w:unhideWhenUsed/>
    <w:pPr>
      <w:spacing w:after="0" w:afterAutospacing="0"/>
    </w:pPr>
  </w:style>
  <w:style w:type="paragraph" w:styleId="875" w:default="1">
    <w:name w:val="Normal"/>
    <w:qFormat/>
    <w:rPr>
      <w:rFonts w:ascii="Calibri" w:hAnsi="Calibri" w:eastAsia="Calibri" w:cs="Times New Roman"/>
    </w:rPr>
  </w:style>
  <w:style w:type="character" w:styleId="876" w:default="1">
    <w:name w:val="Default Paragraph Font"/>
    <w:uiPriority w:val="1"/>
    <w:semiHidden/>
    <w:unhideWhenUsed/>
  </w:style>
  <w:style w:type="table" w:styleId="8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8" w:default="1">
    <w:name w:val="No List"/>
    <w:uiPriority w:val="99"/>
    <w:semiHidden/>
    <w:unhideWhenUsed/>
  </w:style>
  <w:style w:type="paragraph" w:styleId="87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80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table" w:styleId="881">
    <w:name w:val="Table Grid"/>
    <w:basedOn w:val="8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2">
    <w:name w:val="Header"/>
    <w:basedOn w:val="875"/>
    <w:link w:val="88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3" w:customStyle="1">
    <w:name w:val="Верхний колонтитул Знак"/>
    <w:basedOn w:val="876"/>
    <w:link w:val="882"/>
    <w:uiPriority w:val="99"/>
    <w:rPr>
      <w:rFonts w:ascii="Calibri" w:hAnsi="Calibri" w:eastAsia="Calibri" w:cs="Times New Roman"/>
    </w:rPr>
  </w:style>
  <w:style w:type="paragraph" w:styleId="884">
    <w:name w:val="Balloon Text"/>
    <w:basedOn w:val="875"/>
    <w:link w:val="88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85" w:customStyle="1">
    <w:name w:val="Текст выноски Знак"/>
    <w:basedOn w:val="876"/>
    <w:link w:val="884"/>
    <w:uiPriority w:val="99"/>
    <w:semiHidden/>
    <w:rPr>
      <w:rFonts w:ascii="Tahoma" w:hAnsi="Tahoma" w:eastAsia="Calibri" w:cs="Tahoma"/>
      <w:sz w:val="16"/>
      <w:szCs w:val="16"/>
    </w:rPr>
  </w:style>
  <w:style w:type="paragraph" w:styleId="886" w:customStyle="1">
    <w:name w:val="ConsPlusCell"/>
    <w:uiPriority w:val="99"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8"/>
      <w:szCs w:val="28"/>
      <w:lang w:eastAsia="ru-RU"/>
    </w:rPr>
  </w:style>
  <w:style w:type="paragraph" w:styleId="887">
    <w:name w:val="List Paragraph"/>
    <w:basedOn w:val="875"/>
    <w:uiPriority w:val="34"/>
    <w:qFormat/>
    <w:pPr>
      <w:contextualSpacing/>
      <w:ind w:left="720"/>
    </w:pPr>
  </w:style>
  <w:style w:type="table" w:styleId="888" w:customStyle="1">
    <w:name w:val="Сетка таблицы1"/>
    <w:basedOn w:val="877"/>
    <w:next w:val="88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889" w:customStyle="1">
    <w:name w:val="Нет списка1"/>
    <w:next w:val="878"/>
    <w:uiPriority w:val="99"/>
    <w:semiHidden/>
    <w:unhideWhenUsed/>
  </w:style>
  <w:style w:type="table" w:styleId="890" w:customStyle="1">
    <w:name w:val="Сетка таблицы2"/>
    <w:basedOn w:val="877"/>
    <w:next w:val="88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91" w:customStyle="1">
    <w:name w:val="Сетка таблицы3"/>
    <w:basedOn w:val="877"/>
    <w:next w:val="88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92">
    <w:name w:val="Hyperlink"/>
    <w:basedOn w:val="876"/>
    <w:uiPriority w:val="99"/>
    <w:unhideWhenUsed/>
    <w:rPr>
      <w:color w:val="0000ff" w:themeColor="hyperlink"/>
      <w:u w:val="single"/>
    </w:rPr>
  </w:style>
  <w:style w:type="table" w:styleId="893" w:customStyle="1">
    <w:name w:val="Сетка таблицы4"/>
    <w:basedOn w:val="877"/>
    <w:next w:val="88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4">
    <w:name w:val="Footer"/>
    <w:basedOn w:val="875"/>
    <w:link w:val="89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5" w:customStyle="1">
    <w:name w:val="Нижний колонтитул Знак"/>
    <w:basedOn w:val="876"/>
    <w:link w:val="894"/>
    <w:uiPriority w:val="99"/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DEE7102FDBEFEF8DD62882B517E893604B51F79CB393FEA70D6A5FTAKBF" TargetMode="External"/><Relationship Id="rId13" Type="http://schemas.openxmlformats.org/officeDocument/2006/relationships/hyperlink" Target="consultantplus://offline/ref=5948FCC1EAA9EC899B0F1DF4E12881279662199E534A15D450CDA8942C3ABE4ADAqF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77AA4-4994-47EA-9D6C-B047FCB69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revision>8</cp:revision>
  <dcterms:created xsi:type="dcterms:W3CDTF">2020-04-22T12:55:00Z</dcterms:created>
  <dcterms:modified xsi:type="dcterms:W3CDTF">2025-05-07T08:11:47Z</dcterms:modified>
</cp:coreProperties>
</file>