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79"/>
        <w:ind w:firstLine="666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9"/>
        <w:ind w:firstLine="6663"/>
        <w:jc w:val="both"/>
        <w:rPr>
          <w:rFonts w:ascii="Times New Roman" w:hAnsi="Times New Roman" w:cs="Times New Roman"/>
          <w:sz w:val="28"/>
          <w:szCs w:val="28"/>
        </w:rPr>
      </w:pPr>
      <w:r/>
      <w:bookmarkStart w:id="0" w:name="_GoBack"/>
      <w:r/>
      <w:bookmarkEnd w:id="0"/>
      <w:r>
        <w:rPr>
          <w:rFonts w:ascii="Times New Roman" w:hAnsi="Times New Roman" w:cs="Times New Roman"/>
          <w:sz w:val="28"/>
          <w:szCs w:val="28"/>
        </w:rPr>
        <w:t xml:space="preserve">постановлением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9"/>
        <w:ind w:firstLine="666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Кабинета Министров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9"/>
        <w:ind w:firstLine="666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Республики Татарстан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9"/>
        <w:ind w:firstLine="666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________ 20</w:t>
      </w:r>
      <w:r>
        <w:rPr>
          <w:rFonts w:ascii="Times New Roman" w:hAnsi="Times New Roman" w:cs="Times New Roman"/>
          <w:sz w:val="28"/>
          <w:szCs w:val="28"/>
        </w:rPr>
        <w:t xml:space="preserve">25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_______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9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9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9"/>
        <w:jc w:val="center"/>
        <w:rPr>
          <w:rFonts w:ascii="Times New Roman" w:hAnsi="Times New Roman" w:cs="Times New Roman"/>
          <w:sz w:val="28"/>
          <w:szCs w:val="28"/>
        </w:rPr>
      </w:pPr>
      <w:r/>
      <w:bookmarkStart w:id="0" w:name="undefined"/>
      <w:r/>
      <w:bookmarkEnd w:id="0"/>
      <w:r>
        <w:rPr>
          <w:rFonts w:ascii="Times New Roman" w:hAnsi="Times New Roman" w:cs="Times New Roman"/>
          <w:sz w:val="28"/>
          <w:szCs w:val="28"/>
        </w:rPr>
        <w:t xml:space="preserve">Стандарт качества государственной услуги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</w:t>
      </w:r>
      <w:r>
        <w:rPr>
          <w:rFonts w:ascii="Times New Roman" w:hAnsi="Times New Roman" w:cs="Times New Roman"/>
          <w:sz w:val="28"/>
          <w:szCs w:val="28"/>
        </w:rPr>
        <w:t xml:space="preserve">Реализация </w:t>
      </w:r>
      <w:r>
        <w:rPr>
          <w:rFonts w:ascii="Times New Roman" w:hAnsi="Times New Roman" w:cs="Times New Roman"/>
          <w:sz w:val="28"/>
          <w:szCs w:val="28"/>
        </w:rPr>
        <w:t xml:space="preserve">образовательных программ высшего образования -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 специалитета</w:t>
      </w:r>
      <w:r>
        <w:rPr>
          <w:rFonts w:ascii="Times New Roman" w:hAnsi="Times New Roman" w:cs="Times New Roman"/>
          <w:sz w:val="28"/>
          <w:szCs w:val="28"/>
        </w:rPr>
        <w:t xml:space="preserve">»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9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7"/>
        <w:numPr>
          <w:ilvl w:val="0"/>
          <w:numId w:val="7"/>
        </w:numPr>
        <w:ind w:left="0" w:right="0" w:hanging="196"/>
        <w:jc w:val="center"/>
        <w:spacing w:after="0" w:line="240" w:lineRule="auto"/>
        <w:widowControl w:val="off"/>
        <w:tabs>
          <w:tab w:val="left" w:pos="2127" w:leader="none"/>
        </w:tabs>
        <w:rPr>
          <w:rFonts w:ascii="Times New Roman" w:hAnsi="Times New Roman"/>
          <w:b/>
          <w:bCs/>
          <w:sz w:val="28"/>
          <w:szCs w:val="28"/>
        </w:rPr>
        <w:outlineLvl w:val="1"/>
      </w:pPr>
      <w:r>
        <w:rPr>
          <w:rFonts w:ascii="Times New Roman" w:hAnsi="Times New Roman" w:eastAsiaTheme="minorHAnsi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Категории (в том числе льготные) получателей 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ind w:left="0" w:right="0" w:firstLine="0"/>
        <w:jc w:val="center"/>
        <w:spacing w:after="0" w:line="240" w:lineRule="auto"/>
        <w:widowControl w:val="off"/>
        <w:tabs>
          <w:tab w:val="left" w:pos="2127" w:leader="none"/>
        </w:tabs>
        <w:rPr>
          <w:rFonts w:ascii="Times New Roman" w:hAnsi="Times New Roman"/>
          <w:b/>
          <w:bCs/>
          <w:sz w:val="28"/>
          <w:szCs w:val="28"/>
        </w:rPr>
        <w:outlineLvl w:val="1"/>
      </w:pPr>
      <w:r>
        <w:rPr>
          <w:rFonts w:ascii="Times New Roman" w:hAnsi="Times New Roman"/>
          <w:b/>
          <w:bCs/>
          <w:sz w:val="28"/>
          <w:szCs w:val="28"/>
        </w:rPr>
        <w:t xml:space="preserve">государственной услуги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879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tabs>
          <w:tab w:val="left" w:pos="709" w:leader="none"/>
        </w:tabs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1.1.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Получателями государственной услуги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«Реализация образовательных программ высшего образования -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программ специалитета»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(далее – государственная услуга)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являются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лица, имеющие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среднее общее образование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(далее – гражданин, получатель государственной услуги).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/>
    </w:p>
    <w:p>
      <w:pPr>
        <w:ind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1.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2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При приеме на обучение по программам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специалитет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а гражданам могут быть предоставлены особые права: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1) прием без вступительных испытаний;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2) прием в пределах установленной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или отдельной квоты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при условии успешного прохождения вступительных испытаний;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3) преимущественное право зачисления при условии успешного прохождения вступительных испытаний и при прочих равных условиях;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4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) иные особые права, установленные стать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ей 71 Федерального закона от 29декабря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2012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года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№ 273-ФЗ «Об образовании в Российской Федерации»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(далее – Федеральный закон).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1.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3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 Перечень граждан, которым предоставляются особые права при приеме на обучение по программам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специалитета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, а также порядок и основания предоставления особых прав, устанавливаются статьей 71 Федерального закона, если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Федеральным законом не установлено иное. Другие категории граждан, которым могут предоставляться предусмотренные пунктами 3 и 4 части 1 статьи 71 Федерального закона особые права при приеме на обучение по в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оенным профессиональным образовательным программам и (или) образовательным программам, содержащим сведения, составляющую государственную тайну, устанавливаются уполномоченными Правительством Российской Федерации федеральными органами исполнительной власти.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1.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4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 При приеме на обучение по программам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специалитета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за счет бюджетных ассигнований бюджета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Республики Татарстан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граждане могут воспользоваться особыми правами, предостав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ленными им и указанными в пункте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1 части 1 статьи 71 Федерального закона, подав по своему выбору заявление о приеме в одну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государственную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образовательную организацию высшего образования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, учредителем которой является Республика Татарстан (далее – образовательная организация),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на одну образовательную программу высшего образования.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</w:t>
      </w:r>
      <w:r>
        <w:rPr>
          <w:rFonts w:ascii="Times New Roman" w:hAnsi="Times New Roman"/>
          <w:sz w:val="28"/>
          <w:szCs w:val="28"/>
        </w:rPr>
        <w:t xml:space="preserve">5</w:t>
      </w:r>
      <w:r>
        <w:rPr>
          <w:rFonts w:ascii="Times New Roman" w:hAnsi="Times New Roman"/>
          <w:sz w:val="28"/>
          <w:szCs w:val="28"/>
        </w:rPr>
        <w:t xml:space="preserve">. Право на прием без вступительных испытаний имеют: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победители и призеры заключительного этапа всероссийской олимпиады школьников, члены сборных команд Российской Федерации, участвовавших в международных олимпиадах по</w:t>
      </w:r>
      <w:r>
        <w:rPr>
          <w:rFonts w:ascii="Times New Roman" w:hAnsi="Times New Roman"/>
          <w:sz w:val="28"/>
          <w:szCs w:val="28"/>
        </w:rPr>
        <w:t xml:space="preserve"> общеобразовательным предметам и сформированных в порядке, установленном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высшего образования, </w:t>
      </w:r>
      <w:r>
        <w:rPr>
          <w:rFonts w:ascii="Times New Roman" w:hAnsi="Times New Roman"/>
          <w:sz w:val="28"/>
          <w:szCs w:val="28"/>
        </w:rPr>
        <w:t xml:space="preserve">по специальностям</w:t>
      </w:r>
      <w:r>
        <w:rPr>
          <w:rFonts w:ascii="Times New Roman" w:hAnsi="Times New Roman"/>
          <w:sz w:val="28"/>
          <w:szCs w:val="28"/>
        </w:rPr>
        <w:t xml:space="preserve">, соответствующим профилю всероссийской олимпиады школьников или международной олимпиады, - в течение </w:t>
      </w:r>
      <w:r>
        <w:rPr>
          <w:rFonts w:ascii="Times New Roman" w:hAnsi="Times New Roman"/>
          <w:sz w:val="28"/>
          <w:szCs w:val="28"/>
        </w:rPr>
        <w:t xml:space="preserve">четырех</w:t>
      </w:r>
      <w:r>
        <w:rPr>
          <w:rFonts w:ascii="Times New Roman" w:hAnsi="Times New Roman"/>
          <w:sz w:val="28"/>
          <w:szCs w:val="28"/>
        </w:rPr>
        <w:t xml:space="preserve"> лет, следующих за годом проведения соответствующей олимпиады;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2</w:t>
      </w:r>
      <w:r>
        <w:rPr>
          <w:rFonts w:ascii="Times New Roman" w:hAnsi="Times New Roman"/>
          <w:sz w:val="28"/>
          <w:szCs w:val="28"/>
        </w:rPr>
        <w:t xml:space="preserve">) чемпионы и призеры Олимпийских игр, Паралимпийских игр и </w:t>
      </w:r>
      <w:r>
        <w:rPr>
          <w:rFonts w:ascii="Times New Roman" w:hAnsi="Times New Roman"/>
          <w:sz w:val="28"/>
          <w:szCs w:val="28"/>
        </w:rPr>
        <w:t xml:space="preserve">Сурдлимпийских</w:t>
      </w:r>
      <w:r>
        <w:rPr>
          <w:rFonts w:ascii="Times New Roman" w:hAnsi="Times New Roman"/>
          <w:sz w:val="28"/>
          <w:szCs w:val="28"/>
        </w:rPr>
        <w:t xml:space="preserve"> игр, чемпионы мира, чемпионы Европы, лица, занявшие первое место на первенстве мира, первенстве Европы по видам спорта, включенным в программы Олимпийских игр, Паралимпийских игр и </w:t>
      </w:r>
      <w:r>
        <w:rPr>
          <w:rFonts w:ascii="Times New Roman" w:hAnsi="Times New Roman"/>
          <w:sz w:val="28"/>
          <w:szCs w:val="28"/>
        </w:rPr>
        <w:t xml:space="preserve">Сурдлимпийских</w:t>
      </w:r>
      <w:r>
        <w:rPr>
          <w:rFonts w:ascii="Times New Roman" w:hAnsi="Times New Roman"/>
          <w:sz w:val="28"/>
          <w:szCs w:val="28"/>
        </w:rPr>
        <w:t xml:space="preserve"> игр, </w:t>
      </w:r>
      <w:r>
        <w:rPr>
          <w:rFonts w:ascii="Times New Roman" w:hAnsi="Times New Roman"/>
          <w:sz w:val="28"/>
          <w:szCs w:val="28"/>
          <w:highlight w:val="white"/>
        </w:rPr>
        <w:t xml:space="preserve">а также на иных официальных международных спортивных соревнованиях, перечень которых утверждается Правительством Российской Федерации, по специальностям  в области физической культуры и спорта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left="0" w:right="0"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1.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6.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Право на прием на обучение по программам специалитета за счет бюджетных ассигнований бюджета Республики Татарстан в пределах установленной квоты имеют: 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pStyle w:val="887"/>
        <w:numPr>
          <w:ilvl w:val="0"/>
          <w:numId w:val="6"/>
        </w:numPr>
        <w:ind w:left="0" w:right="0"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дети-сироты и дети, оставшиеся без попечения родителей, а также лица из числа детей-сирот и детей, оставшихся без попечения родителей;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pStyle w:val="887"/>
        <w:numPr>
          <w:ilvl w:val="0"/>
          <w:numId w:val="6"/>
        </w:numPr>
        <w:ind w:left="0" w:right="0"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дети-инвалиды, инвалиды </w:t>
      </w:r>
      <w:r>
        <w:rPr>
          <w:rFonts w:ascii="Times New Roman" w:hAnsi="Times New Roman" w:eastAsia="Times New Roman"/>
          <w:sz w:val="28"/>
          <w:szCs w:val="28"/>
          <w:highlight w:val="white"/>
          <w:lang w:val="en-US" w:eastAsia="ru-RU"/>
        </w:rPr>
        <w:t xml:space="preserve">I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 и </w:t>
      </w:r>
      <w:r>
        <w:rPr>
          <w:rFonts w:ascii="Times New Roman" w:hAnsi="Times New Roman" w:eastAsia="Times New Roman"/>
          <w:sz w:val="28"/>
          <w:szCs w:val="28"/>
          <w:highlight w:val="white"/>
          <w:lang w:val="en-US" w:eastAsia="ru-RU"/>
        </w:rPr>
        <w:t xml:space="preserve">II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 групп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;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pStyle w:val="887"/>
        <w:numPr>
          <w:ilvl w:val="0"/>
          <w:numId w:val="6"/>
        </w:numPr>
        <w:ind w:left="0" w:right="0"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инвалиды с детства, инвалиды вследствие военной травмы или заболевания, полу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ченных в пер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иод прохождения военной службы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; 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pStyle w:val="887"/>
        <w:numPr>
          <w:ilvl w:val="0"/>
          <w:numId w:val="6"/>
        </w:numPr>
        <w:ind w:left="0" w:right="0"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ветераны боевых действий из числа лиц, указанных в подпунктах 1 - 4 пункта 1 статьи 3 Федерального закона от 12 января 1995 года № 5-ФЗ «О ветеранах»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.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left="0" w:right="0"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</w:rPr>
        <w:t xml:space="preserve">1.7. 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Право на прием на обучение по программам специалитета за счет бюджетных ассигнований бюджета Республики Татарстан в пределах </w:t>
      </w:r>
      <w:r>
        <w:rPr>
          <w:rFonts w:ascii="Times New Roman" w:hAnsi="Times New Roman" w:eastAsia="Times New Roman" w:cs="Times New Roman"/>
          <w:color w:val="000000"/>
          <w:sz w:val="30"/>
          <w:highlight w:val="white"/>
        </w:rPr>
        <w:t xml:space="preserve">отдельной квоты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 имеют: </w:t>
      </w:r>
      <w:r>
        <w:rPr>
          <w:rFonts w:ascii="Times New Roman" w:hAnsi="Times New Roman" w:eastAsia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left="0" w:right="0"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</w:rPr>
        <w:t xml:space="preserve">1) Герои Российской Федерации, лица, награжденные тремя орденами Мужества;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left="0" w:right="0"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/>
          <w:sz w:val="28"/>
          <w:szCs w:val="28"/>
          <w:highlight w:val="none"/>
        </w:rPr>
      </w:pPr>
      <w:r>
        <w:rPr>
          <w:rFonts w:ascii="Times New Roman" w:hAnsi="Times New Roman" w:eastAsia="Times New Roman"/>
          <w:sz w:val="28"/>
          <w:szCs w:val="28"/>
          <w:highlight w:val="white"/>
        </w:rPr>
        <w:t xml:space="preserve">2) гра</w:t>
      </w:r>
      <w:r>
        <w:rPr>
          <w:rFonts w:ascii="Times New Roman" w:hAnsi="Times New Roman" w:eastAsia="Times New Roman"/>
          <w:sz w:val="28"/>
          <w:szCs w:val="28"/>
          <w:highlight w:val="none"/>
        </w:rPr>
        <w:t xml:space="preserve">ждане, проходящие (проходившие) военную службу в Вооруженных Силах Российской Федерации, граждане, проходящие (проходившие) военную службу (службу) в войсках национальной гвардии Российской Федерации, в воинских формированиях и органах, указанных в пу</w:t>
      </w:r>
      <w:r>
        <w:rPr>
          <w:rFonts w:ascii="Times New Roman" w:hAnsi="Times New Roman" w:eastAsia="Times New Roman"/>
          <w:sz w:val="28"/>
          <w:szCs w:val="28"/>
          <w:highlight w:val="none"/>
        </w:rPr>
        <w:t xml:space="preserve">н</w:t>
      </w:r>
      <w:r>
        <w:rPr>
          <w:rFonts w:ascii="Times New Roman" w:hAnsi="Times New Roman" w:eastAsia="Times New Roman"/>
          <w:sz w:val="28"/>
          <w:szCs w:val="28"/>
          <w:highlight w:val="none"/>
        </w:rPr>
        <w:t xml:space="preserve">кте 6 статьи 1 Федерального закона от 31 мая 1996 года № 61-ФЗ «Об обороне», при условии их участия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</w:t>
      </w:r>
      <w:r>
        <w:rPr>
          <w:rFonts w:ascii="Times New Roman" w:hAnsi="Times New Roman" w:eastAsia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highlight w:val="none"/>
        </w:rPr>
        <w:t xml:space="preserve">и (или) выполнения ими задач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приграничных территориях субъектов Российской Федерации, прилегающих к райо</w:t>
      </w:r>
      <w:r>
        <w:rPr>
          <w:rFonts w:ascii="Times New Roman" w:hAnsi="Times New Roman" w:eastAsia="Times New Roman"/>
          <w:sz w:val="28"/>
          <w:szCs w:val="28"/>
          <w:highlight w:val="none"/>
        </w:rPr>
        <w:t xml:space="preserve">н</w:t>
      </w:r>
      <w:r>
        <w:rPr>
          <w:rFonts w:ascii="Times New Roman" w:hAnsi="Times New Roman" w:eastAsia="Times New Roman"/>
          <w:sz w:val="28"/>
          <w:szCs w:val="28"/>
          <w:highlight w:val="none"/>
        </w:rPr>
        <w:t xml:space="preserve">ам проведения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находящиеся (находившиеся) на указанных территориях служащие (работники) правоохраните</w:t>
      </w:r>
      <w:r>
        <w:rPr>
          <w:rFonts w:ascii="Times New Roman" w:hAnsi="Times New Roman" w:eastAsia="Times New Roman"/>
          <w:sz w:val="28"/>
          <w:szCs w:val="28"/>
          <w:highlight w:val="none"/>
        </w:rPr>
        <w:t xml:space="preserve">льных органов Российской Федерации, граждане, выполняющие (выполнявшие) служебные и иные аналогичные функции на указанных территориях;</w:t>
      </w:r>
      <w:r>
        <w:rPr>
          <w:rFonts w:ascii="Times New Roman" w:hAnsi="Times New Roman" w:eastAsia="Times New Roman"/>
          <w:sz w:val="28"/>
          <w:szCs w:val="28"/>
          <w:highlight w:val="none"/>
        </w:rPr>
      </w:r>
      <w:r>
        <w:rPr>
          <w:rFonts w:ascii="Times New Roman" w:hAnsi="Times New Roman" w:eastAsia="Times New Roman"/>
          <w:sz w:val="28"/>
          <w:szCs w:val="28"/>
          <w:highlight w:val="none"/>
        </w:rPr>
      </w:r>
    </w:p>
    <w:p>
      <w:pPr>
        <w:ind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/>
          <w:sz w:val="28"/>
          <w:szCs w:val="28"/>
          <w:highlight w:val="none"/>
        </w:rPr>
      </w:pPr>
      <w:r>
        <w:rPr>
          <w:rFonts w:ascii="Times New Roman" w:hAnsi="Times New Roman" w:eastAsia="Times New Roman"/>
          <w:sz w:val="28"/>
          <w:szCs w:val="28"/>
          <w:highlight w:val="none"/>
        </w:rPr>
        <w:t xml:space="preserve">3</w:t>
      </w:r>
      <w:r>
        <w:rPr>
          <w:rFonts w:ascii="Times New Roman" w:hAnsi="Times New Roman" w:eastAsia="Times New Roman"/>
          <w:sz w:val="28"/>
          <w:szCs w:val="28"/>
          <w:highlight w:val="none"/>
        </w:rPr>
        <w:t xml:space="preserve">) граждане, призванные на военную службу по мобилизации в Вооруженные Силы Российской Федерации, граждане, заключившие контракт о добровольном содействии в выполнении задач, возложенных на Вооруженные Силы Российской Федерации или войска национальной гвард</w:t>
      </w:r>
      <w:r>
        <w:rPr>
          <w:rFonts w:ascii="Times New Roman" w:hAnsi="Times New Roman" w:eastAsia="Times New Roman"/>
          <w:sz w:val="28"/>
          <w:szCs w:val="28"/>
          <w:highlight w:val="none"/>
        </w:rPr>
        <w:t xml:space="preserve">и</w:t>
      </w:r>
      <w:r>
        <w:rPr>
          <w:rFonts w:ascii="Times New Roman" w:hAnsi="Times New Roman" w:eastAsia="Times New Roman"/>
          <w:sz w:val="28"/>
          <w:szCs w:val="28"/>
          <w:highlight w:val="none"/>
        </w:rPr>
        <w:t xml:space="preserve">и Российской Федерации, при условии их участия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и (или) выполнения ими задач по отражению вооруженно</w:t>
      </w:r>
      <w:r>
        <w:rPr>
          <w:rFonts w:ascii="Times New Roman" w:hAnsi="Times New Roman" w:eastAsia="Times New Roman"/>
          <w:sz w:val="28"/>
          <w:szCs w:val="28"/>
          <w:highlight w:val="none"/>
        </w:rPr>
        <w:t xml:space="preserve">г</w:t>
      </w:r>
      <w:r>
        <w:rPr>
          <w:rFonts w:ascii="Times New Roman" w:hAnsi="Times New Roman" w:eastAsia="Times New Roman"/>
          <w:sz w:val="28"/>
          <w:szCs w:val="28"/>
          <w:highlight w:val="none"/>
        </w:rPr>
        <w:t xml:space="preserve">о вторжения на территорию Российской Федерации, в ходе вооруженной провокации 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 на террит</w:t>
      </w:r>
      <w:r>
        <w:rPr>
          <w:rFonts w:ascii="Times New Roman" w:hAnsi="Times New Roman" w:eastAsia="Times New Roman"/>
          <w:sz w:val="28"/>
          <w:szCs w:val="28"/>
          <w:highlight w:val="none"/>
        </w:rPr>
        <w:t xml:space="preserve">о</w:t>
      </w:r>
      <w:r>
        <w:rPr>
          <w:rFonts w:ascii="Times New Roman" w:hAnsi="Times New Roman" w:eastAsia="Times New Roman"/>
          <w:sz w:val="28"/>
          <w:szCs w:val="28"/>
          <w:highlight w:val="none"/>
        </w:rPr>
        <w:t xml:space="preserve">риях Украины, Донецкой Народной Республики, Луганской Народной Республики, Запорожской области и Херсонской области, граждане, заключившие контракт (имевшие иные правоотношения) с организацией, содействующей выполнению задач, возложенных на Вооруженные Сил</w:t>
      </w:r>
      <w:r>
        <w:rPr>
          <w:rFonts w:ascii="Times New Roman" w:hAnsi="Times New Roman" w:eastAsia="Times New Roman"/>
          <w:sz w:val="28"/>
          <w:szCs w:val="28"/>
          <w:highlight w:val="none"/>
        </w:rPr>
        <w:t xml:space="preserve">ы Российской Федерации, при условии их участия в специальной военной операции на указанных территориях;</w:t>
      </w:r>
      <w:r>
        <w:rPr>
          <w:rFonts w:ascii="Times New Roman" w:hAnsi="Times New Roman" w:eastAsia="Times New Roman"/>
          <w:sz w:val="28"/>
          <w:szCs w:val="28"/>
          <w:highlight w:val="none"/>
        </w:rPr>
      </w:r>
      <w:r>
        <w:rPr>
          <w:rFonts w:ascii="Times New Roman" w:hAnsi="Times New Roman" w:eastAsia="Times New Roman"/>
          <w:sz w:val="28"/>
          <w:szCs w:val="28"/>
          <w:highlight w:val="none"/>
        </w:rPr>
      </w:r>
    </w:p>
    <w:p>
      <w:pPr>
        <w:ind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/>
          <w:sz w:val="28"/>
          <w:szCs w:val="28"/>
          <w:highlight w:val="none"/>
        </w:rPr>
      </w:pPr>
      <w:r>
        <w:rPr>
          <w:rFonts w:ascii="Times New Roman" w:hAnsi="Times New Roman" w:eastAsia="Times New Roman"/>
          <w:sz w:val="28"/>
          <w:szCs w:val="28"/>
          <w:highlight w:val="none"/>
        </w:rPr>
        <w:t xml:space="preserve">4</w:t>
      </w:r>
      <w:r>
        <w:rPr>
          <w:rFonts w:ascii="Times New Roman" w:hAnsi="Times New Roman" w:eastAsia="Times New Roman"/>
          <w:sz w:val="28"/>
          <w:szCs w:val="28"/>
          <w:highlight w:val="none"/>
        </w:rPr>
        <w:t xml:space="preserve">) лица, принимавшие в соответствии с решениями органов государственной власти Донецкой Народной Республики, Луганской Народной Республики участие в боевых действиях в составе Вооруженных Сил Донецкой Народной Республики, Народной милиции Луганской Народной</w:t>
      </w:r>
      <w:r>
        <w:rPr>
          <w:rFonts w:ascii="Times New Roman" w:hAnsi="Times New Roman" w:eastAsia="Times New Roman"/>
          <w:sz w:val="28"/>
          <w:szCs w:val="28"/>
          <w:highlight w:val="none"/>
        </w:rPr>
        <w:t xml:space="preserve"> Республики, воинских формирований и органов Донецкой Народной Республики и Луганской Народной Республики начиная с 11 мая 2014 года;</w:t>
      </w:r>
      <w:r>
        <w:rPr>
          <w:rFonts w:ascii="Times New Roman" w:hAnsi="Times New Roman" w:eastAsia="Times New Roman"/>
          <w:sz w:val="28"/>
          <w:szCs w:val="28"/>
          <w:highlight w:val="none"/>
        </w:rPr>
      </w:r>
      <w:r>
        <w:rPr>
          <w:rFonts w:ascii="Times New Roman" w:hAnsi="Times New Roman" w:eastAsia="Times New Roman"/>
          <w:sz w:val="28"/>
          <w:szCs w:val="28"/>
          <w:highlight w:val="none"/>
        </w:rPr>
      </w:r>
    </w:p>
    <w:p>
      <w:pPr>
        <w:ind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/>
          <w:sz w:val="28"/>
          <w:szCs w:val="28"/>
          <w:highlight w:val="none"/>
        </w:rPr>
      </w:pPr>
      <w:r>
        <w:rPr>
          <w:rFonts w:ascii="Times New Roman" w:hAnsi="Times New Roman" w:eastAsia="Times New Roman"/>
          <w:sz w:val="28"/>
          <w:szCs w:val="28"/>
          <w:highlight w:val="none"/>
        </w:rPr>
        <w:t xml:space="preserve">5) дети лиц, указанных в подпунктах 2 - 4 настоящего пункта;</w:t>
      </w:r>
      <w:r>
        <w:rPr>
          <w:rFonts w:ascii="Times New Roman" w:hAnsi="Times New Roman" w:eastAsia="Times New Roman"/>
          <w:sz w:val="28"/>
          <w:szCs w:val="28"/>
          <w:highlight w:val="none"/>
        </w:rPr>
      </w:r>
      <w:r>
        <w:rPr>
          <w:rFonts w:ascii="Times New Roman" w:hAnsi="Times New Roman" w:eastAsia="Times New Roman"/>
          <w:sz w:val="28"/>
          <w:szCs w:val="28"/>
          <w:highlight w:val="none"/>
        </w:rPr>
      </w:r>
    </w:p>
    <w:p>
      <w:pPr>
        <w:ind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/>
          <w:sz w:val="28"/>
          <w:szCs w:val="28"/>
          <w:highlight w:val="none"/>
        </w:rPr>
      </w:pPr>
      <w:r>
        <w:rPr>
          <w:rFonts w:ascii="Times New Roman" w:hAnsi="Times New Roman" w:eastAsia="Times New Roman"/>
          <w:sz w:val="28"/>
          <w:szCs w:val="28"/>
          <w:highlight w:val="none"/>
        </w:rPr>
        <w:t xml:space="preserve">6</w:t>
      </w:r>
      <w:r>
        <w:rPr>
          <w:rFonts w:ascii="Times New Roman" w:hAnsi="Times New Roman" w:eastAsia="Times New Roman"/>
          <w:sz w:val="28"/>
          <w:szCs w:val="28"/>
          <w:highlight w:val="none"/>
        </w:rPr>
        <w:t xml:space="preserve">) дети военнослужащих, сотрудников федеральных органов исполнительной власти и федеральных государственных органов, в которых федеральным законом предусмотрена военная служба, сотрудников органов внутренних дел Российской Федерации, сотрудников уголовно-ис</w:t>
      </w:r>
      <w:r>
        <w:rPr>
          <w:rFonts w:ascii="Times New Roman" w:hAnsi="Times New Roman" w:eastAsia="Times New Roman"/>
          <w:sz w:val="28"/>
          <w:szCs w:val="28"/>
          <w:highlight w:val="none"/>
        </w:rPr>
        <w:t xml:space="preserve">полнительной системы Российской Федерации, направленных в другие государства органами государственной власти Российской Федерации и принимавших участие в боевых действиях при исполнении служебных обязанностей в этих государствах;</w:t>
      </w:r>
      <w:r>
        <w:rPr>
          <w:rFonts w:ascii="Times New Roman" w:hAnsi="Times New Roman" w:eastAsia="Times New Roman"/>
          <w:sz w:val="28"/>
          <w:szCs w:val="28"/>
          <w:highlight w:val="none"/>
        </w:rPr>
      </w:r>
      <w:r>
        <w:rPr>
          <w:rFonts w:ascii="Times New Roman" w:hAnsi="Times New Roman" w:eastAsia="Times New Roman"/>
          <w:sz w:val="28"/>
          <w:szCs w:val="28"/>
          <w:highlight w:val="none"/>
        </w:rPr>
      </w:r>
    </w:p>
    <w:p>
      <w:pPr>
        <w:ind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/>
          <w:sz w:val="28"/>
          <w:szCs w:val="28"/>
          <w:highlight w:val="yellow"/>
        </w:rPr>
      </w:pPr>
      <w:r>
        <w:rPr>
          <w:rFonts w:ascii="Times New Roman" w:hAnsi="Times New Roman" w:eastAsia="Times New Roman"/>
          <w:sz w:val="28"/>
          <w:szCs w:val="28"/>
          <w:highlight w:val="none"/>
        </w:rPr>
        <w:t xml:space="preserve">7</w:t>
      </w:r>
      <w:r>
        <w:rPr>
          <w:rFonts w:ascii="Times New Roman" w:hAnsi="Times New Roman" w:eastAsia="Times New Roman"/>
          <w:sz w:val="28"/>
          <w:szCs w:val="28"/>
          <w:highlight w:val="none"/>
        </w:rPr>
        <w:t xml:space="preserve">) дети медицинских работников, умерших в результате инфицирования новой коронавирусной инфекцией (COVID-19) при исполнении ими трудовых обязанностей, по основным профессиональным образовательным программам медицинского образования и фармацевтического образ</w:t>
      </w:r>
      <w:r>
        <w:rPr>
          <w:rFonts w:ascii="Times New Roman" w:hAnsi="Times New Roman" w:eastAsia="Times New Roman"/>
          <w:sz w:val="28"/>
          <w:szCs w:val="28"/>
          <w:highlight w:val="none"/>
        </w:rPr>
        <w:t xml:space="preserve">ования.</w:t>
      </w:r>
      <w:r>
        <w:rPr>
          <w:rFonts w:ascii="Times New Roman" w:hAnsi="Times New Roman" w:eastAsia="Times New Roman"/>
          <w:sz w:val="28"/>
          <w:szCs w:val="28"/>
          <w:highlight w:val="yellow"/>
        </w:rPr>
      </w:r>
      <w:r>
        <w:rPr>
          <w:rFonts w:ascii="Times New Roman" w:hAnsi="Times New Roman" w:eastAsia="Times New Roman"/>
          <w:sz w:val="28"/>
          <w:szCs w:val="28"/>
          <w:highlight w:val="yellow"/>
        </w:rPr>
      </w:r>
    </w:p>
    <w:p>
      <w:pPr>
        <w:ind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1.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8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 Квота приема для получения высшего образования по программам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специалитета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за счет бюджетных ассигнований бюджета Республики Татарстан устанавливается ежегодно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образовательной организацией в размере не менее чем десять процентов общего объема контрольных цифр приема лиц, выделенных такой образовательной организации на очередной год, по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специальностям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1.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9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 Преимущественное право зачисления в образовательную организацию на обучение по программам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специалитета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при условии успешного прохождения вступительных испытаний и при прочих равных условиях имеют: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1)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дети-сироты и дети, оставшиеся без попечения родителей, а также лица из числа детей-сирот и детей, оставшихся без попечения родителей;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2)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дети-инвалиды, инвалиды I и II групп;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3)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лица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в возрасте до двадцати лет, имеющи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только одного родителя - инвалида I группы, если среднедушевой доход семьи ниже величины прожиточного минимума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, установленного в субъекте Российской Федерации по месту жительства указанных лиц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4)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лица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, которые подверглись воздействию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радиации вследствие катастрофы на Чернобыльской АЭС и на которых распространяется действие Закона Российской Федерации от 15 мая 1991 года № 1244-1 «О социальной защите граждан, подвергшихся воздействию радиации вследствие катастрофы на Чернобыльской АЭС»;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5)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дет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военнослужащих, погибших при исполнении ими обязанностей военной службы или умерших вследствие увечья (ранения, травмы, контузии) либо заболеваний, полученных ими при исполнении обязанностей военной службы, в том числе при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участии в проведении контртеррористических операций и (или) иных мероприятий по борьбе с терроризмом;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6)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дет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умерших (погибших) Героев Советского Союза, Героев Российской Федерации и полных кавалеров ордена Славы;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7)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дет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сотрудников органов внутренних дел, Федеральной службы войск национальной гвардии Российской Федерации, учреждений и органов</w:t>
      </w:r>
      <w:r>
        <w:rPr>
          <w:rFonts w:ascii="Times New Roman" w:hAnsi="Times New Roman" w:eastAsia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уголовно-исполнительной системы,</w:t>
      </w:r>
      <w:r>
        <w:rPr>
          <w:rFonts w:ascii="Times New Roman" w:hAnsi="Times New Roman" w:eastAsia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органов принудительного исполнения Российской Федерации,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федеральной противопожарной службы</w:t>
      </w:r>
      <w:r>
        <w:rPr>
          <w:rFonts w:ascii="Times New Roman" w:hAnsi="Times New Roman" w:eastAsia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Государственной противопожарной службы, органов по контролю за оборотом наркотических средств и психотропных веществ,</w:t>
      </w:r>
      <w:r>
        <w:rPr>
          <w:rFonts w:ascii="Times New Roman" w:hAnsi="Times New Roman" w:eastAsia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таможенных органов, Следственного комитета Российской Федерации, погибших (умерших)</w:t>
      </w:r>
      <w:r>
        <w:rPr>
          <w:rFonts w:ascii="Times New Roman" w:hAnsi="Times New Roman" w:eastAsia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вследствие увечья или иного повреждения здоровья, полученных ими в связи с выполнением служебных обязанностей, либо вследствие заболевания, полученного ими в период прохождения службы в указанных учреждениях и органах, и дет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, находивши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ся на их иждивении;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8)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дет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прокурорских работников, погибши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х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(умерши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х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) вследствие увечья или иного повреждения здоровья, полученных ими в период прохождения службы в органах прокуратуры либо после увольнения вследствие причинения вреда здоровью в связи с их служебной деятельностью;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9)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военнослужащи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, кот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орые проходят военную службу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по контракту,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и непрерывная продолжительность военной службы по контракту которых составляет не менее трех лет, а также граждан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, прошедши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военную службу по призыву и поступающи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на обучение по рекомендациям командиров, выдаваемым гражданам в порядке, установленном федеральным органом исполнительной власти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и федеральным государственным органом, в которых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федеральным законом предусмотрена военная служба;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10)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граждан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, проходивши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в течение не менее трех лет военную службу по контракту в Вооруженных Силах Российской Федерации, других войсках, воинских формированиях и органах на воинских должностях и уволенны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с военной службы по основаниям, предусмотренным подпунктами «б» – «г» пункта 1, подпунктом «а» пункта 2 и подпунктами «а» – «в» пункта 3 статьи 51 Федерального закона от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               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28 марта 1998 года № 53-ФЗ «О воинской обязанности и военной службе»;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11)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инвалид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ы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войны, участник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боевых действий, а также ветеран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ы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боевых действий из числа лиц, указанных в подпунктах 1 – 4 пункта 1 статьи 3 Федерального закона от 12 января 1995 года № 5-ФЗ «О ветеранах»;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12)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граждан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, непосредственно принимавши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участие в испытаниях ядерного оружия, боевых радиоактивных веществ в атмосфере, ядерного оружия под землей, в учениях с применением таких</w:t>
      </w:r>
      <w:r>
        <w:rPr>
          <w:rFonts w:ascii="Times New Roman" w:hAnsi="Times New Roman" w:eastAsia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видов оружия и боевых радиоактивных веществ до даты фактического прекращения указанных испытаний и учений,</w:t>
      </w:r>
      <w:r>
        <w:rPr>
          <w:rFonts w:ascii="Times New Roman" w:hAnsi="Times New Roman" w:eastAsia="Times New Roman"/>
          <w:b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непосредственны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участник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ликвидации радиационных аварий на ядерных установках надводных и подводных кораблей и других военных объектах,</w:t>
      </w:r>
      <w:r>
        <w:rPr>
          <w:rFonts w:ascii="Times New Roman" w:hAnsi="Times New Roman" w:eastAsia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непосредственны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участник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проведения и обеспечения работ по сбору и захоронению радиоактивных веществ, а также непосредственны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участник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ликвидации последствий этих аварий (военнослужащи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и лица из числа вольнонаемного состава Вооруженных Сил Российской Федерации, военнослужащи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внутренних войск Министерства внутренних дел Российской Федерации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или федеральных государственных органов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,</w:t>
      </w:r>
      <w:r>
        <w:rPr>
          <w:rFonts w:ascii="Times New Roman" w:hAnsi="Times New Roman" w:eastAsia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военнослужащи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и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сотрудник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Федеральной службы войск национальной гвардии Российской Федерации, лица,</w:t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проходивши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службу в железнодорожных войсках и других воинских формированиях, сотрудник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органов внутренних дел Российской Федерации и федеральной противопожарной службы Государственной противопожарной службы);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13)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военнослужащи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, сотрудник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Федеральной службы войск национальной гвардии Российской Федерации, органов внутренних дел Российской Федерации, уголовно-исполнительной системы, федеральной противопожарной службы Государственной противопожарной службы, выполнявши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задачи в условиях вооруженного конфликта в Чеченской Республике и на прилегающих к ней территориях, отнесенных к зоне вооруженного конфликта, и указанны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военнослужащи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, выполняющи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задачи в ходе контртеррористических операций на территории Северо-Кавказского региона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;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14) лица, указанные в пункте 1.7 настоящего Стандарта.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1.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10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 Победит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елям и призерам олимпиад школьников, проводимых в порядке, установленном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высшего образования,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по согласованию с федера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общего образования, в течение четырех лет, следующих за годом проведения соответствующей олимпиады,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предоставляются следующие особые права при приеме в образовательные организации на обучение по программам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специалитета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по специальностям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, соответствующим профилю олимпиады школьников, в порядке, установленном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указанным федеральным органом исполнительной власти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: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1) прием без вступительных испытаний на обучение по программам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специалитета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по специальностям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, соответствующим профилю олимпиады школьников. Соответствие профиля указанных олимпиад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специальностям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определяется образовательной организацией;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2) быть приравненными к лицам, набравшим максимальное количество баллов единого государственного экзамена по общеобразователь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ному предмету, соответствующему профилю олимпиады школьников, или к лицам, успешно прошедшим дополнительные вступительные испытания профильной, творческой и (или) профессиональной направленности, предусмотренные частями 7 и 8 статьи 70 Федерального закона.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tabs>
          <w:tab w:val="left" w:pos="709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pStyle w:val="879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II</w:t>
      </w:r>
      <w:r>
        <w:rPr>
          <w:rFonts w:ascii="Times New Roman" w:hAnsi="Times New Roman" w:cs="Times New Roman"/>
          <w:b/>
          <w:sz w:val="28"/>
          <w:szCs w:val="28"/>
        </w:rPr>
        <w:t xml:space="preserve">. Правовые основания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предоставления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государственной услуги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79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Государственная услуга предоставляется в соответствии со следующими законодательными и иными нормативными правовыми актами: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/>
      <w:hyperlink r:id="rId12" w:tooltip="consultantplus://offline/ref=DEE7102FDBEFEF8DD62882B517E893604B51F79CB393FEA70D6A5FTAKBF" w:history="1">
        <w:r>
          <w:rPr>
            <w:rFonts w:ascii="Times New Roman" w:hAnsi="Times New Roman"/>
            <w:sz w:val="28"/>
            <w:szCs w:val="28"/>
          </w:rPr>
          <w:t xml:space="preserve">Конституция</w:t>
        </w:r>
      </w:hyperlink>
      <w:r>
        <w:rPr>
          <w:rFonts w:ascii="Times New Roman" w:hAnsi="Times New Roman"/>
          <w:sz w:val="28"/>
          <w:szCs w:val="28"/>
        </w:rPr>
        <w:t xml:space="preserve"> Российской Федерации;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Федеральный конституционный закон от 21 марта 2014 года № 6-ФКЗ «О принятии в Российскую Федерацию Республики Крым и образовании в составе Российской Федерации новых субъектов </w:t>
      </w:r>
      <w:r>
        <w:rPr>
          <w:rFonts w:ascii="Times New Roman" w:hAnsi="Times New Roman"/>
          <w:sz w:val="28"/>
          <w:szCs w:val="28"/>
        </w:rPr>
        <w:t xml:space="preserve">–</w:t>
      </w:r>
      <w:r>
        <w:rPr>
          <w:rFonts w:ascii="Times New Roman" w:hAnsi="Times New Roman"/>
          <w:sz w:val="28"/>
          <w:szCs w:val="28"/>
        </w:rPr>
        <w:t xml:space="preserve"> Республики Крым и города федерального значения Севастополя»;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Трудовой кодекс Российской Федерации;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Закон Российской Федерации от 15 мая 1991 года № 1244-1 «О социальной защите граждан, подвергшихся воздействию радиации вследствие катастрофы на Чернобыльской АЭС»;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Закон Российской Федерации от 7 февраля 1992 года № 2300-1 «О защите прав потребителей»;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Федеральный закон от 12 января 1995 года № 5-ФЗ «О ветеранах»;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Федеральный закон от 28 марта 1998 года № 53-ФЗ «О воинской обязанности и военной службе»;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Федеральный закон от 24 июля 1998 года № 124-ФЗ «Об основных гарантиях прав ребенка в Российской Федерации»;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Федеральный закон от 2 мая 2006 года № 59-ФЗ «О порядке рассмотрения об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ращений граждан Российской Федерации»;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Федеральный закон от 22 июля 2008 года № 123-ФЗ «Технический регламент о требованиях пожарной безопасности»;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Федеральный закон от 5 мая 2014 года № 84-ФЗ «Об особенностях правового регулирования отношений в сфере образования в связи 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с принятием в Российскую Федерацию Республики Крым и образованием в составе Российской Федерации новых субъектов – Республики Крым и города федерального значения Севастополя и о внесении изменений в Федеральный закон «Об образовании в Российской Федерации»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 (далее – Федеральный закон № 84-ФЗ)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;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постановление Правительства Российской Федерации от 18 сентября 2020 г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.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       № 1490 «О лицензировании образовательной деятельности»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;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постановление Правительства Российской Федерации от 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20 октября 2021 г.            № 1802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 «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б утверждении Правил размещения на официальном сайте образовательной организации в информационно-телекоммуникационной сети «Интернет» и обновления информации об образовательной организации, а также о признании утратившими силу некоторых актов и отдельных п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оложений некоторых актов Правительства Российской Федерации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»;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постановление Правительства Российской Федерации от 19 мая 2023 г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.                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 № 797 «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Об утверждении Положения о государственной аккредитации образовательной деятельности и о признании утратившим силу постановления Правительства Российской Федерации от 14 января 2022 г. № 3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»;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постановление Главного государственного санитарного врача Российской Федерации от 28 сентября 2020 г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.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 № 28 «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Об утверждении санитарных правил СП 2.4.3648-20 «Санитарно-эпидемиологические требования к организациям вос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питания и обучения, отдыха и оздоровления детей и молодежи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»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;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приказ Министерства образования и науки Российской Федерации от 12 сен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-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тября 2013 г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.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 № 1061 «Об утверждении перечней специальностей и направлений подготовки высшего образования»;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приказ Министерства образования и науки Российской Федерации                            от 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17 января 2014 г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.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 № 21 «Об утверждении перечня специальностей и (или) направлений подготовки, по которым при приеме на обучение за счет бюджетных 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ассигнований федерального бюджета, бюджетов субъектов Российской Федерации и местных бюджетов по программам бакалавриата и программам специалитета могут проводиться дополнительные вступительные испытания творческой и (или) профессиональной направленности»;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приказ Министерства образования и науки Российской Федерации от 29 июня 2015 г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.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 № 636 «Об утверждении Порядка проведения государственной итоговой аттестации по образовательным программам высшего образования – программам бакалавриата, программам специалитета и программам магистратуры»;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приказ Министерства науки и высшего образования Российской Федерации 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 от 6 апреля 2021 года № 245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 «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Об утверждении Порядка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»; 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приказ Министерства образования и науки Российской Федерации                          от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 22 июля 2021 г. № 645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 «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Об утверждении образцов и описания документов о высшем образовании и о квалификации и приложений к ним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»; 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приказ Министерства науки и высшего образования Российской Федерации  от 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27 ноября 2024 года № 821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«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Об утверждении Порядка приема на обучение по образовательным программам высшего образования - программам бакалавриата, программам специалитета, программам магистратуры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»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; 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Конституция Республики Татарстан;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Закон Республики Т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атарстан от 22 июля 2013 года № 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68-ЗРТ «Об образовании»;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постановление Кабинета Министров Республики Татарстан от 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30.06.2009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№ 445 «О стандартах качества государственных услуг, оказываемых государственными учреждениями Республики Татарстан»;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постановление Кабинета Министров Республики Татарстан от 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30.06.2009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 № 446 «О Порядке проведения оценки соответствия качества фактически предоставляемых государственных услуг установленным стандартам качества государственных услуг Республики Татарстан»;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устав 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образовательной организации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;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локальные 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нормативные 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акты 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образовательной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 организации, 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содержащие нормы, регулирующие образовательные отношения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;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иные нормативные правовые акты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.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outlineLvl w:val="0"/>
      </w:pPr>
      <w:r/>
      <w:bookmarkStart w:id="2" w:name="sub_103"/>
      <w:r>
        <w:rPr>
          <w:rFonts w:ascii="Times New Roman" w:hAnsi="Times New Roman" w:eastAsia="Times New Roman"/>
          <w:b/>
          <w:bCs/>
          <w:color w:val="26282f"/>
          <w:sz w:val="28"/>
          <w:szCs w:val="28"/>
          <w:lang w:eastAsia="ru-RU"/>
        </w:rPr>
        <w:t xml:space="preserve">III. 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Исчерпывающий перечень документов, необходимых для получения 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outlineLvl w:val="0"/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государственной услуги</w:t>
      </w:r>
      <w:bookmarkEnd w:id="2"/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/>
      <w:bookmarkStart w:id="3" w:name="sub_1031"/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3.1. При подаче заявления (на русском языке) о приеме в образовательную организацию гражданин предъявляет следующие документы:</w:t>
      </w:r>
      <w:bookmarkEnd w:id="3"/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tbl>
      <w:tblPr>
        <w:tblW w:w="10206" w:type="dxa"/>
        <w:tblInd w:w="108" w:type="dxa"/>
        <w:tblBorders>
          <w:top w:val="single" w:color="auto" w:sz="4" w:space="0"/>
          <w:left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90"/>
        <w:gridCol w:w="4230"/>
        <w:gridCol w:w="3260"/>
        <w:gridCol w:w="2126"/>
      </w:tblGrid>
      <w:tr>
        <w:tblPrEx/>
        <w:trPr/>
        <w:tc>
          <w:tcPr>
            <w:tcW w:w="590" w:type="dxa"/>
            <w:textDirection w:val="lrTb"/>
            <w:noWrap w:val="false"/>
          </w:tcPr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№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п/п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W w:w="423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Перечень документов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Организация, осуществляющая выдачу документа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Срок действия документа со дня его выдачи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</w:tr>
    </w:tbl>
    <w:p>
      <w:pPr>
        <w:spacing w:after="0" w:line="240" w:lineRule="auto"/>
        <w:rPr>
          <w:sz w:val="2"/>
          <w:szCs w:val="2"/>
        </w:rPr>
      </w:pPr>
      <w:r>
        <w:rPr>
          <w:sz w:val="2"/>
          <w:szCs w:val="2"/>
        </w:rPr>
      </w:r>
      <w:r>
        <w:rPr>
          <w:sz w:val="2"/>
          <w:szCs w:val="2"/>
        </w:rPr>
      </w:r>
      <w:r>
        <w:rPr>
          <w:sz w:val="2"/>
          <w:szCs w:val="2"/>
        </w:rPr>
      </w:r>
    </w:p>
    <w:tbl>
      <w:tblPr>
        <w:tblW w:w="10227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91"/>
        <w:gridCol w:w="11"/>
        <w:gridCol w:w="4247"/>
        <w:gridCol w:w="3260"/>
        <w:gridCol w:w="2100"/>
        <w:gridCol w:w="18"/>
      </w:tblGrid>
      <w:tr>
        <w:tblPrEx/>
        <w:trPr>
          <w:gridAfter w:val="1"/>
          <w:tblHeader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9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</w:tr>
      <w:tr>
        <w:tblPrEx/>
        <w:trPr/>
        <w:tc>
          <w:tcPr>
            <w:gridSpan w:val="6"/>
            <w:tcBorders>
              <w:top w:val="single" w:color="auto" w:sz="4" w:space="0"/>
              <w:bottom w:val="single" w:color="auto" w:sz="4" w:space="0"/>
            </w:tcBorders>
            <w:tcW w:w="1022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Для граждан Российской Федерации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9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1.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8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Заявление (на русском языке) о приеме в образовательную организацию 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образовательная организация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бессрочно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</w:tr>
      <w:tr>
        <w:tblPrEx/>
        <w:trPr>
          <w:gridAfter w:val="1"/>
        </w:trPr>
        <w:tc>
          <w:tcPr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02" w:type="dxa"/>
            <w:textDirection w:val="lrTb"/>
            <w:noWrap w:val="false"/>
          </w:tcPr>
          <w:p>
            <w:pPr>
              <w:jc w:val="center"/>
              <w:spacing w:after="0" w:line="23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2.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47" w:type="dxa"/>
            <w:textDirection w:val="lrTb"/>
            <w:noWrap w:val="false"/>
          </w:tcPr>
          <w:p>
            <w:pPr>
              <w:jc w:val="both"/>
              <w:spacing w:after="0" w:line="23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Документ, удостоверяющий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лич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-ность, гражданство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0" w:type="dxa"/>
            <w:textDirection w:val="lrTb"/>
            <w:noWrap w:val="false"/>
          </w:tcPr>
          <w:p>
            <w:pPr>
              <w:jc w:val="both"/>
              <w:spacing w:after="0" w:line="23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территориальные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орга-ны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 Министерства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внут-ренних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 дел Российской Федерации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0" w:type="dxa"/>
            <w:textDirection w:val="lrTb"/>
            <w:noWrap w:val="false"/>
          </w:tcPr>
          <w:p>
            <w:pPr>
              <w:jc w:val="both"/>
              <w:spacing w:after="0" w:line="23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в соответствии с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законодатель-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ством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  <w:p>
            <w:pPr>
              <w:jc w:val="both"/>
              <w:spacing w:after="0" w:line="23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</w:tr>
      <w:tr>
        <w:tblPrEx/>
        <w:trPr>
          <w:gridAfter w:val="1"/>
        </w:trPr>
        <w:tc>
          <w:tcPr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02" w:type="dxa"/>
            <w:textDirection w:val="lrTb"/>
            <w:noWrap w:val="false"/>
          </w:tcPr>
          <w:p>
            <w:pPr>
              <w:jc w:val="center"/>
              <w:spacing w:after="0" w:line="23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3.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47" w:type="dxa"/>
            <w:textDirection w:val="lrTb"/>
            <w:noWrap w:val="false"/>
          </w:tcPr>
          <w:p>
            <w:pPr>
              <w:jc w:val="both"/>
              <w:spacing w:after="0" w:line="23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Документ об образовании образца, устанавливаемого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общего образования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0" w:type="dxa"/>
            <w:textDirection w:val="lrTb"/>
            <w:noWrap w:val="false"/>
          </w:tcPr>
          <w:p>
            <w:pPr>
              <w:jc w:val="both"/>
              <w:spacing w:after="0" w:line="23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общеобразовательная организация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0" w:type="dxa"/>
            <w:textDirection w:val="lrTb"/>
            <w:noWrap w:val="false"/>
          </w:tcPr>
          <w:p>
            <w:pPr>
              <w:jc w:val="both"/>
              <w:spacing w:after="0" w:line="23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бессрочно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</w:tr>
      <w:tr>
        <w:tblPrEx/>
        <w:trPr>
          <w:gridAfter w:val="1"/>
          <w:trHeight w:val="2297"/>
        </w:trPr>
        <w:tc>
          <w:tcPr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0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4.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47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Для сдачи внутренних общеобразовательных вступительных испытаний в связи с инвалидностью - документ, подтверждающий инвалидность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учреждения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 медико-социальной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экспертизы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в соответствии с законодатель-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ством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</w:tr>
      <w:tr>
        <w:tblPrEx/>
        <w:trPr>
          <w:gridAfter w:val="1"/>
        </w:trPr>
        <w:tc>
          <w:tcPr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0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5.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47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При необходимости создания специальных условий при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прове-дении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 вступительных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испыта-ний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 – документ, подтверждающий ограниченные возможности здоровья или инвалидность, требующие создания указанных условий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учреждения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 медико-социальной экспертизы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в соответствии с законодатель-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ством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</w:tr>
      <w:tr>
        <w:tblPrEx/>
        <w:trPr>
          <w:gridAfter w:val="1"/>
        </w:trPr>
        <w:tc>
          <w:tcPr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0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6.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47" w:type="dxa"/>
            <w:textDirection w:val="lrTb"/>
            <w:noWrap w:val="false"/>
          </w:tcPr>
          <w:p>
            <w:pPr>
              <w:pStyle w:val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Для использования особых прав,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(право на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прием без вступительных испытаний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, право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ыть приравненными к лицам, набравшим максимальное количество баллов единого государственного экзамена по общеобразовательному предмету, соответствующему профилю олимпиады школьников, или к лицам, успешно прошедшим дополнительные вступительные испытания про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фильной, творческой и (или) профессиональной направленности)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- документ, подтверждающий, что поступающий относится к лицам, которым предоставляется соответствующ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ее особое право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федеральный орган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ис-полнительной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 власти, осуществляющий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функ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-ции по выработке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госу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-дарственной политики и нормативно-правовому регулированию в сфере образования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в течение четы-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рех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 лет, следующих за годом проведения соответствующей олимпиады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</w:tr>
      <w:tr>
        <w:tblPrEx/>
        <w:trPr>
          <w:gridAfter w:val="1"/>
          <w:trHeight w:val="2758"/>
        </w:trPr>
        <w:tc>
          <w:tcPr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0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7.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47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Для использования особых прав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(право на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прием в пределах установленной или отдельной квоты,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преимущественное право зачисления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)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 - документ, подтверждающий, что поступающий относится к лицам, которым предоставляется со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ответствующее особое право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учреждения медико-социальной экспертизы; отделы опеки и попечительства исполнительных комитетов муниципальных образований по месту регистрации; территориальные органы, осуществляющие регистрацию актов гражданского состояния по Республике Татарстан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военные комиссариаты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территориальные органы Министерства внутренних дел Российской Федерации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в соответствии с законодатель-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ством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</w:tr>
      <w:tr>
        <w:tblPrEx/>
        <w:trPr>
          <w:gridAfter w:val="1"/>
        </w:trPr>
        <w:tc>
          <w:tcPr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0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8.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47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Согласие на обработку персо-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нальных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 данных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образовательная организация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в соответствии с законодатель-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ством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</w:tr>
      <w:tr>
        <w:tblPrEx/>
        <w:trPr>
          <w:gridAfter w:val="1"/>
        </w:trPr>
        <w:tc>
          <w:tcPr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0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9.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47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Заявление о согласии на зачисление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при поступлении на обучение на места в рамках контрольных цифр приема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образовательная организация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бессрочно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</w:tr>
      <w:tr>
        <w:tblPrEx/>
        <w:trPr/>
        <w:tc>
          <w:tcPr>
            <w:gridSpan w:val="6"/>
            <w:tcBorders>
              <w:top w:val="single" w:color="auto" w:sz="4" w:space="0"/>
              <w:bottom w:val="single" w:color="auto" w:sz="4" w:space="0"/>
            </w:tcBorders>
            <w:tcW w:w="1022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Для иностранных граждан, лиц без гражданства, в том числе соотечественников, проживающих за рубежом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</w:tr>
      <w:tr>
        <w:tblPrEx/>
        <w:trPr>
          <w:gridAfter w:val="1"/>
        </w:trPr>
        <w:tc>
          <w:tcPr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0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10.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47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Заявление (на русском языке) о приеме в образовательную организацию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0" w:type="dxa"/>
            <w:textDirection w:val="lrTb"/>
            <w:noWrap w:val="false"/>
          </w:tcPr>
          <w:p>
            <w:pPr>
              <w:jc w:val="left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образовательная организация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  <w:p>
            <w:pPr>
              <w:jc w:val="left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бессрочно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</w:tr>
      <w:tr>
        <w:tblPrEx/>
        <w:trPr>
          <w:gridAfter w:val="1"/>
        </w:trPr>
        <w:tc>
          <w:tcPr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0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11.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4247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Документ, удостоверяющий лич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-ность, гражданство иностран-ного гражданина или лица без гражданства (оригинал или нотариально заверенная копия)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326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уполномоченный орган иностранного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государ-ства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210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бессрочно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</w:tr>
      <w:tr>
        <w:tblPrEx/>
        <w:trPr>
          <w:gridAfter w:val="1"/>
        </w:trPr>
        <w:tc>
          <w:tcPr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0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12.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47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Документ иностранного госу-дарства о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б образовании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(оригинал или нотариально заверенная копия)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выдается иностранным государством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0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бессрочно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</w:tr>
    </w:tbl>
    <w:p>
      <w:pPr>
        <w:ind w:firstLine="0"/>
        <w:jc w:val="both"/>
        <w:spacing w:after="0" w:line="240" w:lineRule="auto"/>
        <w:widowControl w:val="off"/>
        <w:rPr>
          <w:rFonts w:ascii="Times New Roman" w:hAnsi="Times New Roman" w:eastAsia="Times New Roman"/>
          <w:color w:val="ff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ff0000"/>
          <w:sz w:val="28"/>
          <w:szCs w:val="28"/>
          <w:lang w:eastAsia="ru-RU"/>
        </w:rPr>
      </w:r>
      <w:r>
        <w:rPr>
          <w:rFonts w:ascii="Times New Roman" w:hAnsi="Times New Roman" w:eastAsia="Times New Roman"/>
          <w:color w:val="ff0000"/>
          <w:sz w:val="28"/>
          <w:szCs w:val="28"/>
          <w:lang w:eastAsia="ru-RU"/>
        </w:rPr>
      </w:r>
      <w:r>
        <w:rPr>
          <w:rFonts w:ascii="Times New Roman" w:hAnsi="Times New Roman" w:eastAsia="Times New Roman"/>
          <w:color w:val="ff0000"/>
          <w:sz w:val="28"/>
          <w:szCs w:val="28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outlineLvl w:val="0"/>
      </w:pPr>
      <w:r/>
      <w:bookmarkStart w:id="4" w:name="sub_104"/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IV. Требования к порядку и у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ловиям 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предоставления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 государственной услуги</w:t>
      </w:r>
      <w:bookmarkEnd w:id="4"/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/>
      <w:bookmarkStart w:id="5" w:name="sub_1041"/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4.1. Государственная услуга предоставляется в целях:</w:t>
      </w:r>
      <w:bookmarkEnd w:id="5"/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удовлетворения потребностей личности в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интеллектуальном, культурном и нравственном развитии посредством получения высшего образования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удовлетворения потребностей общества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 государства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в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квалифицированных специалистах с высшим образованием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формирования у получателей государственной услуги гражданской позиции и трудолюбия, развития ответственности, самостоятельности и творческой активности;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накопления, сохранения и приумножения нравственных, культурных и научных ценностей общества;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распространения знаний среди населения, повышения его образовательного и культурного уровня.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/>
      <w:bookmarkStart w:id="6" w:name="sub_1042"/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4.2. Государственная услуга предоставляется в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образовательных организациях</w:t>
      </w:r>
      <w:bookmarkEnd w:id="6"/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/>
      <w:bookmarkStart w:id="7" w:name="sub_1043"/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4.3. Предоставление государственной услуги в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образовательных организациях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осуществляется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в соответствии с перечнем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специальностей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, утверждаемым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высшего образования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</w:t>
      </w:r>
      <w:bookmarkEnd w:id="7"/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4.4. Порядок приема в образовательные организации устанавливается федеральным органом исполнительной власти, осуществляющим функции по вырабо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тке и реализации государственной политики и нормативно-правовому регулированию в сфере высшего образования. Правила приема определяются учредителем в соответствии с законодательством Российской Федерации и закрепляются в уставе образовательной организации.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4.5. Образ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овательная организация самостоятельно разрабатывает и утверждает ежегодные правила приема, определяющие их особенности на соответствующий год, не противоречащие законодательству Российской Федерации, порядку приема, устанавливаемому федеральным органом исп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олнительной власти, осуществляющим функции по выработке и реализации государственной политики и нормативно-правовому регулированию в сфере высшего образования, и правилам приема, определяемым учредителем и закрепленным в уставе образовательной организации.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4.6. Прием в образовательные организации осуществляется на конкурсной основе по заявлениям граждан. Условиями конкурса должны быть гарантированы соблюдение прав граждан на образование и зачисление граждан, наиболее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способных и подготовленных к освоению образовательной программы соответствующего уровня. 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4.7. К освоению программ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специалитета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допускаются граждане, имеющие среднее общее образование, подтвержденное документом о среднем общем образовании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, имеющие среднее профессиональное образование, подтвержденное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документом о среднем профессиональном образовании, или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имеющие высшее образование, подтвержденное документом о высшем образовании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Прием на обучение по программам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специалитета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(за исключением приема граждан, имеющих право на прием на обучение без вступительных испытаний) проводится: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н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а базе среднего общего образования – на основании оцениваемых по стобалльной шкале результатов единого государственного экзамена, которые признаются в качестве результатов вступительных испытаний, и (или) по результатам вступительных испытаний, проводимых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образовательной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организацией самостоятельно;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на базе среднего профессионального или высшего образования – по результатам вступительных испытаний, форма и перечень которых определяются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локальным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нормативным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актом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образовательной организаци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При приеме в имеющие государственную аккредитацию образовательные организации для обучения по программам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специалитета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по специальностям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, требующим наличия у поступающих определенных творческих способностей, физических и (или) психологических качеств, указанные образовательные организации вправе проводить по предметам, по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которым не проводится единый государственный экзамен, дополнительные вступительные испытания творческой и (или) профессиональной направленности, результаты которых учитываются наряду с результатами единого государственного экзамена при проведении конкурса.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4.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8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 Перечень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специальностей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, по которым при приеме для обучения по программам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специалитета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могут проводиться дополнительные испытания творческой и (или) профессиональной направленности, утверждается в порядке, определяемом федеральным органом исполнительной власти, осуществляющим функции по выработке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 реализации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государственной политики и нормативно-правовому регулированию в сфере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высшего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образования.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Перечень дополнительных вступительных испытаний и правила их проведения в образовательных организациях объявляются не позднее 31 марта текущего года.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4.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9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Для граждан, имеющих среднее профессиональное образование и (или) высшее образование соответствующего профиля, а также по решению ученого совета образовательной организации допускается получение высшего образования по сокращенным или ускоренным программам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специалитета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4.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10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рограмма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специалитета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может осваиваться в различных формах с учетом потребносте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й, возможностей личности и в зависимости от объема обязательных занятий педагогического работника образовательной организации с обучающимися: очной, очно-заочной, заочной формах. Допускается сочетание различных форм получения высшего образования. Перечень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специальностей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, по которым получение высшего образования по програм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мам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специалитета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в очно-заочной, заочной формах обучения не допускается, устанавливается уполномоченным Правительством Российской Федерации федеральным органом исполнительной власти.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4.1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1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 Организация образовательного процесса в образовательной организации осуществляется в соответствии с образовательными программами и расписанием учебных занятий для каждой специальности и формы получения образования.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бразовательная программа высшего образования обеспе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чивает реализацию федерального государственного образовательного стандарта с учетом вида образовательной организации, образовательных потребностей и запросов граждан и включает в себя учебный план, рабочие программы учебных курсов, предметов, дисциплин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(модулей) и другие материалы, обеспечивающие качество подготовки граждан, а также программы учебной и производственной практики, календарный учебный график и методические материалы, обеспечивающие реализацию соответствующей образовательной технологии.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4.1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2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 Срок получения образования по программе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специалитета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определяется в соответствии с федеральными государственными образовательными стандартами высшего образования по соответствующим специальностям.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Граждане, получившие документы государственного образца о соответствующем уровне высшего образования, подтверждаемого присвоением квалификации (степени) «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специалист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», имеют право продолжить на конкурсной основе обучение по образовательной программе высшего образования – программе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подготовки научно-педагогических кадров в аспирантуре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4.1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3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 В образовательной организации учебный год для обучающихся очной и очно-заочной формы обучения начинается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, как правило, с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1 сентября и заканчивается согласно рабочему учебному плану по конкретной специальности.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В случае, если 1 сентября является выходным нерабочим днем, учебный год начинается со следующего за выходным рабочего дня.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Сроки начала и окончания учебного года для обучающихся заочной формы обучения устанавливаются рабочим учебным планом.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color w:val="ff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Срок начала учебного года может переноситься образо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вательной организацией по очно-заочной форме получения образования не более чем на 1 месяц. В иных случаях перенос срока начала учебного года осуществляется по решению органа государственной власти, в ведении которого находится образовательная организация.</w:t>
      </w:r>
      <w:r>
        <w:rPr>
          <w:rFonts w:ascii="Times New Roman" w:hAnsi="Times New Roman" w:eastAsia="Times New Roman"/>
          <w:color w:val="ff0000"/>
          <w:sz w:val="28"/>
          <w:szCs w:val="28"/>
          <w:lang w:eastAsia="ru-RU"/>
        </w:rPr>
      </w:r>
      <w:r>
        <w:rPr>
          <w:rFonts w:ascii="Times New Roman" w:hAnsi="Times New Roman" w:eastAsia="Times New Roman"/>
          <w:color w:val="ff0000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4.14. В процессе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предоставления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государственной услуги выполняются следующие мероприятия: лекции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, практические занятия, семинары, лабораторные работы, контрольные работы, коллоквиумы, консультации, самостоятельные работы, научно-исследовательские работы, курсовые проектирования (курсовые работы), а также могут проводиться другие виды учебных занятий.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4.15. Численность обучающихся в учебной группе образовательной организации при получении государственной услуги по очной форме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обучения в соответствии с гигиеническими требованиями к условиям обучения не должна превышать 25 человек. Исходя из специфики образовательной организации учебные занятия могут проводиться с группами или подгруппами обучающихся меньшей численности, а также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 отдельными обучающимися. Образовательная организация вправе объединять группы обучающихся при проведении учебных занятий в виде лекций.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4.1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6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 Образовательная организация самостоятельна в выборе системы оценок, формы, порядка и периодичности промежуточной аттестации обучающихся. Положение о текущем контроле знаний и промежуточной аттестации обучающихся утверждается образовательной организацией.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Образовательная организация оценивает качество освоения образовательных программ путем осуществления текущего контроля успеваемости, промежуточной аттестации обучающихся и итоговой аттестации выпускников.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Положение о проведении текущего контроля успеваемости и промежуточной аттестации обучающихся утверждается в порядке, предусмотренном уставом образовательной организации.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Итоговая аттестация выпускника образовательной организации является обязательной и осуществляется после освоения образовательной программы в полном объеме.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color w:val="ff0000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Государственная итоговая аттестация обучающихся в образовательных организациях, имеющих государственную аккредитацию, осуществляется государственными аттестационными комиссиями в соответствии с положением, утвержденным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риказом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Министерств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образования и науки Российской Федерации от 29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июня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2015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г.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№ 636 «Об утверждении Порядка проведения государственной итоговой аттестации по образовательным программам высшего образования – программам бакалавриата, программам специалитета и программам магистратуры».</w:t>
      </w:r>
      <w:r>
        <w:rPr>
          <w:rFonts w:ascii="Times New Roman" w:hAnsi="Times New Roman" w:eastAsia="Times New Roman"/>
          <w:color w:val="ff0000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/>
          <w:color w:val="ff0000"/>
          <w:sz w:val="28"/>
          <w:szCs w:val="28"/>
          <w:highlight w:val="none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4.17. Обучающимся выдается студенческий билет и зачетная книжка. Формы студенческого билета и зачетной книжки устанавливаются федеральным органом исполнительной власти, осуществляющим функции по выработке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 реализации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государственной политики и нормативно-правовому регулированию в сфере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высшего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образования.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4.18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 При получении государственной услуги обучающиеся имеют право пользоваться библиотеками, информационными ресурсами, услугами учебных, социально-бытовых, лечебных и других подразделений образовательной организации в порядке, установленном её уставом.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4.19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 Обучающимся образовательной организации по очной форме обучения и получающим образование за счет средств соответствующего бюджета в установленном порядке выплачивается государственная академическая и государственная социальная стипендии.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4.2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0. Получатели государственной услуги, нуждающиеся в жилой площади, обеспечиваются местами в общежитии при наличии соответствующего жилищного фонда образовательной организации.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4.2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1. Отдельным категориям обучающихся – получателям государственной услуги предоставляются дополнительные меры социальной поддержки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, установленные законодательством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Российской Федерации.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4.22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 Выпускник образовательной организации считается завершившим обучение на основании приказа образовательной организации о его отчислении в связи с полным освоением основной образовательной программы и прохождением государственной итоговой аттестации.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Образовательная организация, имеющая государственную аккре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дитацию, выдает гражданам, освоившим основную профессиональную образовательную программу высшего образования в полном объеме и прошедшим государственную итоговую аттестацию, документ государственного образца о соответствующем уровне образования – диплом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специалиста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с государственной символикой Российской Федерации.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4.23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 Обучающиеся, не прошедшие государственное аттестационное испытание в связи с неявкой на государственное аттестационное испытание по неуважительной причине или в связи с получением оценки «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не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удовлетворительно», а также обучающиеся из числа инвалидов, не прошедшие государственное аттестационное испытание в установленный для них срок (в связи с неявкой на го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сударственное ат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тестационное испытание или получением оценки «неудовлетворительно»), отчисляются из образовательной организации с выдачей справки об обучении как не выполнившие обязанностей по добросовестному освоению образовательной программы и выполнению учебного плана.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color w:val="ff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ff0000"/>
          <w:sz w:val="28"/>
          <w:szCs w:val="28"/>
          <w:lang w:eastAsia="ru-RU"/>
        </w:rPr>
      </w:r>
      <w:r>
        <w:rPr>
          <w:rFonts w:ascii="Times New Roman" w:hAnsi="Times New Roman" w:eastAsia="Times New Roman"/>
          <w:color w:val="ff0000"/>
          <w:sz w:val="28"/>
          <w:szCs w:val="28"/>
          <w:lang w:eastAsia="ru-RU"/>
        </w:rPr>
      </w:r>
      <w:r>
        <w:rPr>
          <w:rFonts w:ascii="Times New Roman" w:hAnsi="Times New Roman" w:eastAsia="Times New Roman"/>
          <w:color w:val="ff0000"/>
          <w:sz w:val="28"/>
          <w:szCs w:val="28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outlineLvl w:val="0"/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V. Требования к материально-техническому обеспечению 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предоставления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outlineLvl w:val="0"/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государственной услуги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/>
      <w:bookmarkStart w:id="9" w:name="sub_1051"/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5.1. Образовательная организация обеспечивает содержание закрепленных за ни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м и (или) принадлежащих ему на праве собственности зданий, сооружений, имущества, оборудования и другого имущества потребительского, социального, культурного и иного назначения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/>
      <w:bookmarkStart w:id="10" w:name="sub_1052"/>
      <w:r/>
      <w:bookmarkEnd w:id="9"/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5.2. Образовательная организация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должна располагать материально-технической базой, обеспечивающей реализацию государственных требований и соответствующей действующим санитарно-техническим нормам.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/>
      <w:bookmarkStart w:id="11" w:name="sub_1053"/>
      <w:r/>
      <w:bookmarkEnd w:id="10"/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5.3. Размеры площадей основных и дополнительных помещений образовательной организации приним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аются в соответствии с требованиями санитарных и строительных норм и правил в зависимости от реализуемых образовательных программ, единовременной вместимости, технологии процесса обучения, инженерно-технического оборудования, оснащения необходимой мебелью.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/>
      <w:bookmarkStart w:id="12" w:name="sub_1054"/>
      <w:r/>
      <w:bookmarkEnd w:id="11"/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5.4. </w:t>
      </w:r>
      <w:bookmarkStart w:id="13" w:name="sub_1055"/>
      <w:r/>
      <w:bookmarkEnd w:id="12"/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Образовательная организация должна быть оснащена оборудованием, аппаратурой и приборами, отвечающими требованиям санитарно-эпидемиологических правил и норм, стандартов, технических условий, других нормативных документов.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5.5. Образовательная организация создает учебные кабинеты и лаборатории,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учебные и учебно-производственные ма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стерские в соответствии с реализуемыми образовательными программами высшего образования. Образовательная организация может иметь в качестве структурного подразделения филиалы, общежития, учебно-производственные хозяйства, учебные полигоны, помещения для за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нятия физкультурой и спортом, библиотеку, помещения для питания обучающихся (буфет, столовая), медицинский пункт и другие структурные подразделения.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5.6. Учебная и производственная практика, предусмотренная федеральными государственными образовательными стандартами высшего образования, осуществляется на основе договоров между образовательной организацией и предприятиями, учреждениями, организаци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ями, в соответствии с которыми указанные предприятия, учреждения, организации независимо от их организационно-правовых форм обязаны предоставлять места для прохождения практики обучающимися образовательной организации, имеющей государственную аккредитацию.</w:t>
      </w:r>
      <w:bookmarkEnd w:id="13"/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outlineLvl w:val="0"/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VI. Требования к безопасности 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предоставления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 государственной услуги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/>
      <w:bookmarkStart w:id="14" w:name="sub_1061"/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6.1. Образовательные организации должны быть зарегистрированы в качестве юридического лица в установленном законодательством порядке и иметь:</w:t>
      </w:r>
      <w:bookmarkEnd w:id="14"/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свидетельство о государственной аккредитации;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свидетельство о постановке на учет юридического лица в налоговом органе по месту нахождения на территории Российской Федерации;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свидетельство о внесении записи в Единый государственный реестр юридических лиц;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лицензии на реализуемые образовательные программы.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/>
      <w:bookmarkStart w:id="15" w:name="sub_1062"/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6.2. Помещения образовательной организации должны соответствовать:</w:t>
      </w:r>
      <w:bookmarkEnd w:id="15"/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требованиям, предусмотренным Федеральным законом от 22 июля 2008 года № 123-ФЗ «Технический регламент о требованиях пожарной безопасности»;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санитарно-эпидемиологическим нормам.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/>
      <w:bookmarkStart w:id="16" w:name="sub_1063"/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6.3. Специальное оборудование, приборы и аппаратура должны использоваться строго по назначению в соответствии с эксплуатационными документами, содержаться в технически исправном состоянии.</w:t>
      </w:r>
      <w:bookmarkEnd w:id="16"/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Неисправное специальное оборудование, приборы и аппаратура должны быть заменены, отремонтированы (если они подлежат ремонту) или изъяты из эксплуатации.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/>
      <w:bookmarkStart w:id="17" w:name="sub_1064"/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6.4. Образовательная организация несет ответственность в установленном законодательством Российской Федерации порядке за невыполнение или ненадлежащее выполнение функций, отнесенных к ее компетенции, за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обучающихся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, а также за жизнь и здоровье работников образовательной организа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ции. За нарушение или незаконное ограничение прав на образование и предусмотренных законодательством об образовании прав и свобод обучающихся, нарушение требований к организации и осуществлению образовательной деятельности образовательная организация и ее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должностные лица несут административную ответственность в соответствии с Кодексом Российской Федерации об административных правонарушениях.</w:t>
      </w:r>
      <w:bookmarkEnd w:id="17"/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outlineLvl w:val="0"/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VII. Требования, обеспечивающие доступность государственной услуги для 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outlineLvl w:val="0"/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получателей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/>
      <w:bookmarkStart w:id="18" w:name="sub_1072"/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7.1. Объем и структура приема получателей государственной услуги в образовательные организации определяются в государственном задании в порядке, установленном Кабинетом Министров Республики Татарстан.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7.2. Образовательные организации вправе осуществлять в пределах бюджетных мест целевой прием получат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елей государственной услуги в соответствии с договорами, заключенными с органами государственной власти, органами местного самоуправления в целях содействия им в подготовке специалистов с высшим образованием и организовывать на эти места отдельный конкурс.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7.3. Расписание занятий образовательной организации в целях создания наиболее благоприятного режима труда и отдыха составляется с учетом возрастных особенностей обучающихся и установленных санитарно-гигиенических норм, при этом начало занятий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в образовательных организациях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должно быть не ранее 8.00, а их окончание – не позднее 20.00.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7.4. В образовательных организациях создаются условия для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предоставления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государственной услуги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лицам с ограниченными возможностями здоровья,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в том числе инвалидам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,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путем обеспечения доступности объектов и услуг в соответствии с требованиями, установленными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законодательством Российской Федерации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bookmarkEnd w:id="18"/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/>
          <w:b/>
          <w:bCs/>
          <w:color w:val="ff0000"/>
          <w:sz w:val="28"/>
          <w:szCs w:val="28"/>
          <w:lang w:eastAsia="ru-RU"/>
        </w:rPr>
        <w:outlineLvl w:val="0"/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VIII. Требования к уровню кадрового обеспечения 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предоставления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 государственной услуги</w:t>
      </w:r>
      <w:r>
        <w:rPr>
          <w:rFonts w:ascii="Times New Roman" w:hAnsi="Times New Roman" w:eastAsia="Times New Roman"/>
          <w:b/>
          <w:bCs/>
          <w:color w:val="ff0000"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color w:val="ff0000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color w:val="ff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ff0000"/>
          <w:sz w:val="28"/>
          <w:szCs w:val="28"/>
          <w:lang w:eastAsia="ru-RU"/>
        </w:rPr>
      </w:r>
      <w:r>
        <w:rPr>
          <w:rFonts w:ascii="Times New Roman" w:hAnsi="Times New Roman" w:eastAsia="Times New Roman"/>
          <w:color w:val="ff0000"/>
          <w:sz w:val="28"/>
          <w:szCs w:val="28"/>
          <w:lang w:eastAsia="ru-RU"/>
        </w:rPr>
      </w:r>
      <w:r>
        <w:rPr>
          <w:rFonts w:ascii="Times New Roman" w:hAnsi="Times New Roman" w:eastAsia="Times New Roman"/>
          <w:color w:val="ff0000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/>
      <w:bookmarkStart w:id="19" w:name="sub_1081"/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8.1. Образовательная организация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должна быть укомплектована квалифицированными специалистами в соответствии со штатным расписанием и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количеством укомплектованных учебных групп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 Порядок комплектования персонала образовательной организации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регламентируется е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е уставом.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pStyle w:val="87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/>
      <w:bookmarkStart w:id="20" w:name="sub_1082"/>
      <w:r/>
      <w:bookmarkEnd w:id="19"/>
      <w:r>
        <w:rPr>
          <w:rFonts w:ascii="Times New Roman" w:hAnsi="Times New Roman"/>
          <w:sz w:val="28"/>
          <w:szCs w:val="28"/>
        </w:rPr>
        <w:t xml:space="preserve">8.2. </w:t>
      </w:r>
      <w:bookmarkStart w:id="21" w:name="sub_1083"/>
      <w:r/>
      <w:bookmarkEnd w:id="20"/>
      <w:r>
        <w:rPr>
          <w:rFonts w:ascii="Times New Roman" w:hAnsi="Times New Roman" w:cs="Times New Roman"/>
          <w:sz w:val="28"/>
          <w:szCs w:val="28"/>
        </w:rPr>
        <w:t xml:space="preserve">К педагогической деятельности в образовательной организации не допускаются лица: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лишенные права заниматься педагогической деятельностью в соответствии с вступившим в законную силу приговором суда;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имеющие или имевшие судимость, подвергавшиеся уголовному </w:t>
      </w:r>
      <w:r>
        <w:rPr>
          <w:rFonts w:ascii="Times New Roman" w:hAnsi="Times New Roman" w:cs="Times New Roman"/>
          <w:sz w:val="28"/>
          <w:szCs w:val="28"/>
        </w:rPr>
        <w:t xml:space="preserve">преследова-нию</w:t>
      </w:r>
      <w:r>
        <w:rPr>
          <w:rFonts w:ascii="Times New Roman" w:hAnsi="Times New Roman" w:cs="Times New Roman"/>
          <w:sz w:val="28"/>
          <w:szCs w:val="28"/>
        </w:rPr>
        <w:t xml:space="preserve"> (за исключением лиц, уголовное преследование в отношении которых </w:t>
      </w:r>
      <w:r>
        <w:rPr>
          <w:rFonts w:ascii="Times New Roman" w:hAnsi="Times New Roman" w:cs="Times New Roman"/>
          <w:sz w:val="28"/>
          <w:szCs w:val="28"/>
        </w:rPr>
        <w:t xml:space="preserve">прекра-щено</w:t>
      </w:r>
      <w:r>
        <w:rPr>
          <w:rFonts w:ascii="Times New Roman" w:hAnsi="Times New Roman" w:cs="Times New Roman"/>
          <w:sz w:val="28"/>
          <w:szCs w:val="28"/>
        </w:rPr>
        <w:t xml:space="preserve"> по реабилитирующим основаниям) за преступления против жизни и здоровья, свободы, чести и достоинства личности (за исключением незаконной госпитализации в медицинскую организацию, оказывающую психиатрическую помощь в стационар</w:t>
      </w:r>
      <w:r>
        <w:rPr>
          <w:rFonts w:ascii="Times New Roman" w:hAnsi="Times New Roman" w:cs="Times New Roman"/>
          <w:sz w:val="28"/>
          <w:szCs w:val="28"/>
        </w:rPr>
        <w:t xml:space="preserve">ных</w:t>
      </w:r>
      <w:r>
        <w:rPr>
          <w:rFonts w:ascii="Times New Roman" w:hAnsi="Times New Roman" w:cs="Times New Roman"/>
          <w:sz w:val="28"/>
          <w:szCs w:val="28"/>
        </w:rPr>
        <w:t xml:space="preserve"> условиях, и клеветы), половой неприкосновенности и половой свободы лично</w:t>
      </w:r>
      <w:r>
        <w:rPr>
          <w:rFonts w:ascii="Times New Roman" w:hAnsi="Times New Roman" w:cs="Times New Roman"/>
          <w:sz w:val="28"/>
          <w:szCs w:val="28"/>
        </w:rPr>
        <w:t xml:space="preserve">сти</w:t>
      </w:r>
      <w:r>
        <w:rPr>
          <w:rFonts w:ascii="Times New Roman" w:hAnsi="Times New Roman" w:cs="Times New Roman"/>
          <w:sz w:val="28"/>
          <w:szCs w:val="28"/>
        </w:rPr>
        <w:t xml:space="preserve">, против семьи и несовершеннолетних, здоровья населения и общественной нрав</w:t>
      </w:r>
      <w:r>
        <w:rPr>
          <w:rFonts w:ascii="Times New Roman" w:hAnsi="Times New Roman" w:cs="Times New Roman"/>
          <w:sz w:val="28"/>
          <w:szCs w:val="28"/>
        </w:rPr>
        <w:t xml:space="preserve">ственности</w:t>
      </w:r>
      <w:r>
        <w:rPr>
          <w:rFonts w:ascii="Times New Roman" w:hAnsi="Times New Roman" w:cs="Times New Roman"/>
          <w:sz w:val="28"/>
          <w:szCs w:val="28"/>
        </w:rPr>
        <w:t xml:space="preserve">, основ конституционного строя и безопасности государства, мира и безопасности человечества, а также против общественной безопасности, за исключением случаев, предусмотренных частью третьей статьи 331 Трудового кодекса Российской </w:t>
      </w:r>
      <w:r>
        <w:rPr>
          <w:rFonts w:ascii="Times New Roman" w:hAnsi="Times New Roman" w:cs="Times New Roman"/>
          <w:sz w:val="28"/>
          <w:szCs w:val="28"/>
        </w:rPr>
        <w:t xml:space="preserve">Федерации;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имеющие неснятую или непогашенную судимость за иные умышленные тяжкие и особо тяжкие преступления, не указанные в абзаце третьем настоящего пункта;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9"/>
        <w:ind w:firstLine="709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признанные недееспособными в установленном федеральным законом порядке;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879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shd w:val="clear" w:color="auto" w:fill="00ff7f"/>
        </w:rPr>
        <w:t xml:space="preserve">имеющие статус иностранного аген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shd w:val="clear" w:color="auto" w:fill="00ff7f"/>
        </w:rPr>
        <w:t xml:space="preserve">та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;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87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имеющие заболевания, предусмотренные перечнем, утверждаемым </w:t>
      </w:r>
      <w:r>
        <w:rPr>
          <w:rFonts w:ascii="Times New Roman" w:hAnsi="Times New Roman" w:cs="Times New Roman"/>
          <w:sz w:val="28"/>
          <w:szCs w:val="28"/>
        </w:rPr>
        <w:t xml:space="preserve">федераль-ным</w:t>
      </w:r>
      <w:r>
        <w:rPr>
          <w:rFonts w:ascii="Times New Roman" w:hAnsi="Times New Roman" w:cs="Times New Roman"/>
          <w:sz w:val="28"/>
          <w:szCs w:val="28"/>
        </w:rPr>
        <w:t xml:space="preserve"> органом исполнительной власти, осуществляющим функции по выработке </w:t>
      </w:r>
      <w:r>
        <w:rPr>
          <w:rFonts w:ascii="Times New Roman" w:hAnsi="Times New Roman" w:cs="Times New Roman"/>
          <w:sz w:val="28"/>
          <w:szCs w:val="28"/>
        </w:rPr>
        <w:t xml:space="preserve">госу</w:t>
      </w:r>
      <w:r>
        <w:rPr>
          <w:rFonts w:ascii="Times New Roman" w:hAnsi="Times New Roman" w:cs="Times New Roman"/>
          <w:sz w:val="28"/>
          <w:szCs w:val="28"/>
        </w:rPr>
        <w:t xml:space="preserve">дарственной политики и нормативно-правовому регулированию в области здравоохранения.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Лица из числа указанных в абзаце третьем настоящего пункта, имевшие суди-</w:t>
      </w:r>
      <w:r>
        <w:rPr>
          <w:rFonts w:ascii="Times New Roman" w:hAnsi="Times New Roman" w:cs="Times New Roman"/>
          <w:sz w:val="28"/>
          <w:szCs w:val="28"/>
        </w:rPr>
        <w:t xml:space="preserve">мость</w:t>
      </w:r>
      <w:r>
        <w:rPr>
          <w:rFonts w:ascii="Times New Roman" w:hAnsi="Times New Roman" w:cs="Times New Roman"/>
          <w:sz w:val="28"/>
          <w:szCs w:val="28"/>
        </w:rPr>
        <w:t xml:space="preserve"> за совершение преступлений небольшой тяжести и преступлений средней </w:t>
      </w:r>
      <w:r>
        <w:rPr>
          <w:rFonts w:ascii="Times New Roman" w:hAnsi="Times New Roman" w:cs="Times New Roman"/>
          <w:sz w:val="28"/>
          <w:szCs w:val="28"/>
        </w:rPr>
        <w:t xml:space="preserve">тя</w:t>
      </w:r>
      <w:r>
        <w:rPr>
          <w:rFonts w:ascii="Times New Roman" w:hAnsi="Times New Roman" w:cs="Times New Roman"/>
          <w:sz w:val="28"/>
          <w:szCs w:val="28"/>
        </w:rPr>
        <w:t xml:space="preserve">-жести против жизни и здоровья, свободы, чести и достоинства личности (за </w:t>
      </w:r>
      <w:r>
        <w:rPr>
          <w:rFonts w:ascii="Times New Roman" w:hAnsi="Times New Roman" w:cs="Times New Roman"/>
          <w:sz w:val="28"/>
          <w:szCs w:val="28"/>
        </w:rPr>
        <w:t xml:space="preserve">исклю-чением</w:t>
      </w:r>
      <w:r>
        <w:rPr>
          <w:rFonts w:ascii="Times New Roman" w:hAnsi="Times New Roman" w:cs="Times New Roman"/>
          <w:sz w:val="28"/>
          <w:szCs w:val="28"/>
        </w:rPr>
        <w:t xml:space="preserve"> незаконной госпитализации в медицинскую организацию, оказывающую пси</w:t>
      </w:r>
      <w:r>
        <w:rPr>
          <w:rFonts w:ascii="Times New Roman" w:hAnsi="Times New Roman" w:cs="Times New Roman"/>
          <w:sz w:val="28"/>
          <w:szCs w:val="28"/>
        </w:rPr>
        <w:t xml:space="preserve">хиатрическую</w:t>
      </w:r>
      <w:r>
        <w:rPr>
          <w:rFonts w:ascii="Times New Roman" w:hAnsi="Times New Roman" w:cs="Times New Roman"/>
          <w:sz w:val="28"/>
          <w:szCs w:val="28"/>
        </w:rPr>
        <w:t xml:space="preserve"> помощь в стационарных условиях, и клеветы), семьи и несовершеннолетних, здоровья населения и общественной нравственности, основ конституционного строя и безопасности государства, мира и безопасности человечества, а также про</w:t>
      </w:r>
      <w:r>
        <w:rPr>
          <w:rFonts w:ascii="Times New Roman" w:hAnsi="Times New Roman" w:cs="Times New Roman"/>
          <w:sz w:val="28"/>
          <w:szCs w:val="28"/>
        </w:rPr>
        <w:t xml:space="preserve">тив</w:t>
      </w:r>
      <w:r>
        <w:rPr>
          <w:rFonts w:ascii="Times New Roman" w:hAnsi="Times New Roman" w:cs="Times New Roman"/>
          <w:sz w:val="28"/>
          <w:szCs w:val="28"/>
        </w:rPr>
        <w:t xml:space="preserve"> общественной безопасности, и лица, уголовное преследование в отношении ко</w:t>
      </w:r>
      <w:r>
        <w:rPr>
          <w:rFonts w:ascii="Times New Roman" w:hAnsi="Times New Roman" w:cs="Times New Roman"/>
          <w:sz w:val="28"/>
          <w:szCs w:val="28"/>
        </w:rPr>
        <w:t xml:space="preserve">торых</w:t>
      </w:r>
      <w:r>
        <w:rPr>
          <w:rFonts w:ascii="Times New Roman" w:hAnsi="Times New Roman" w:cs="Times New Roman"/>
          <w:sz w:val="28"/>
          <w:szCs w:val="28"/>
        </w:rPr>
        <w:t xml:space="preserve"> по обвинению в совершении этих преступлений прекращено по </w:t>
      </w:r>
      <w:r>
        <w:rPr>
          <w:rFonts w:ascii="Times New Roman" w:hAnsi="Times New Roman" w:cs="Times New Roman"/>
          <w:sz w:val="28"/>
          <w:szCs w:val="28"/>
        </w:rPr>
        <w:t xml:space="preserve">нереабилитирующим</w:t>
      </w:r>
      <w:r>
        <w:rPr>
          <w:rFonts w:ascii="Times New Roman" w:hAnsi="Times New Roman" w:cs="Times New Roman"/>
          <w:sz w:val="28"/>
          <w:szCs w:val="28"/>
        </w:rPr>
        <w:t xml:space="preserve"> основаниям, могут быть допущены к педагогической деятельности при наличии решения </w:t>
      </w:r>
      <w:r>
        <w:rPr>
          <w:rFonts w:ascii="Times New Roman" w:hAnsi="Times New Roman" w:cs="Times New Roman"/>
          <w:sz w:val="28"/>
          <w:szCs w:val="28"/>
        </w:rPr>
        <w:t xml:space="preserve">Республиканской к</w:t>
      </w:r>
      <w:r>
        <w:rPr>
          <w:rFonts w:ascii="Times New Roman" w:hAnsi="Times New Roman" w:cs="Times New Roman"/>
          <w:sz w:val="28"/>
          <w:szCs w:val="28"/>
        </w:rPr>
        <w:t xml:space="preserve">омиссии по делам несовершеннолетних и защите их прав о допуске их к педагогической деятельности.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8.3. Работники образовательной организации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обязаны соблюдать устав, правила внутреннего распорядка, строго следовать профессиональной этике, качественно выполнять возложенные на них функциональные обязанности.</w:t>
      </w:r>
      <w:bookmarkEnd w:id="21"/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Педагогические работники обязаны обеспечивать высокую эффективность образовательного процесса, систематически заниматься повышением своей квалификации.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/>
      <w:bookmarkStart w:id="22" w:name="sub_1084"/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8.4. Педагогические работники имеют право выбирать методы и средства обучения, обеспечивающие высокое качество образовательного процесса.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/>
      <w:bookmarkStart w:id="23" w:name="sub_1085"/>
      <w:r/>
      <w:bookmarkEnd w:id="22"/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8.5. Дополнительное профессиональное образование педагогических ра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ботников организуется не реже одного раза в три года путем обучения и (или) стажировки в организациях дополнительного профессионального образования, в образовательных организациях и иных организациях в соответствии с законодательством Российской Федерации.</w:t>
      </w:r>
      <w:bookmarkEnd w:id="23"/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color w:val="ff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ff0000"/>
          <w:sz w:val="28"/>
          <w:szCs w:val="28"/>
          <w:lang w:eastAsia="ru-RU"/>
        </w:rPr>
      </w:r>
      <w:r>
        <w:rPr>
          <w:rFonts w:ascii="Times New Roman" w:hAnsi="Times New Roman" w:eastAsia="Times New Roman"/>
          <w:color w:val="ff0000"/>
          <w:sz w:val="28"/>
          <w:szCs w:val="28"/>
          <w:lang w:eastAsia="ru-RU"/>
        </w:rPr>
      </w:r>
      <w:r>
        <w:rPr>
          <w:rFonts w:ascii="Times New Roman" w:hAnsi="Times New Roman" w:eastAsia="Times New Roman"/>
          <w:color w:val="ff0000"/>
          <w:sz w:val="28"/>
          <w:szCs w:val="28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outlineLvl w:val="0"/>
      </w:pPr>
      <w:r/>
      <w:bookmarkStart w:id="24" w:name="sub_109"/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IX. 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Требования к информационному обеспечению 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получателей 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outlineLvl w:val="0"/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государственной услуги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bookmarkEnd w:id="24"/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/>
      <w:bookmarkStart w:id="25" w:name="sub_1091"/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9.1. Информация о государственной услуге и образовательной организации должна соответствовать требованиям Закона Российской Федерации от 7 февраля 1992 года № 2300-1 «О защите прав потребителей».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pPr>
      <w:r/>
      <w:bookmarkStart w:id="26" w:name="sub_1092"/>
      <w:r/>
      <w:bookmarkEnd w:id="25"/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9.2. С целью ознакомления получателя государственной услуги и его родителей (законных представителей) с уставом образовательной организации, лицензией на право ведения образовательной деятельности, со свидетельством о государственной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аккредитации образовательной организации по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образовательным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программам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высшего образования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, реализуемым образовательной организацией, и дру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гими документами, регламентирующими организацию образовательного процесса и работу приемной комиссии, образовательная организация обязана разместить указанные документы на своем официальном сайте в информационно-телекоммуникационной сети «Интернет» (далее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–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официальный сайт), а также обеспечить свободный доступ в здание образовательной организации к информации, размещенной на информационном стенде (табло) приемной комиссии и (или) в электронной информационной системе (далее вместе - информационный стенд).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9.3.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В целях информирования о приеме на обучение на официальном сайте образовательная организация размещает следующую информацию о приеме на обучение: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1) не позднее 20 января года приема на обучение (далее - год приема):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а) перечень специальностей, на которые проводится прием на обучение в данном году;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б) правила приема на обучение, утвержденные образовательной организацией;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в) сроки проведения приема на обучение;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г) перечень вступительных испытаний с указанием по каждому вступительному испытанию следующих сведений: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наименование вступительного испытания;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максимальное количество баллов;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минимальное количество баллов;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приоритетность испытания при ранжировании;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для внутреннего вступительного испытания - форма проведения, языки, на которых осуществляется проведение вступительного испытания, программа вступительного испытания;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информация о проведении вступительного испытания очно и (или) с 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использованием дистанционных технологий;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особенности проведения вступительного испытания для инвалидов и лиц с ограниченными возможностями здоровья;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д) порядок учета индивидуальных достижений;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е) перечень общих индивидуальных достижений, учитываемых при приеме на обучение;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ж) информация о предоставлении особых прав и особого преимущества;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з) информация о необходимости (отсутствии необходимости) прохождения поступающими обязательного предварительного медицинского осмотра (обследования);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и) информация о местах приема документов, почтовых адресах для направления документов, необходимых для поступления, электронных адресах для взаимодействия с поступающими;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к) информация о наличии общежития(ий) для обучающихся;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л) количество мест для приема на обучение по различным условиям поступления в рамках контрольных цифр приема (без указания квот);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2) не позднее 10 апреля года приема - количество мест для приема на обучение в рамках контрольных цифр приема по различным конкурсным группам, в том числе на места в пределах особой квоты, отдельной квоты, целевой квоты;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3) не позднее чем за 5 месяцев до начала зачисления на платные места: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количество платных мест;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образец договора об образовании;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4) не позднее 1 июня года приема: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информация о количестве мест в общежитиях для обучающихся;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расписание вступительных испытаний.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9.4. В период приема документов приемн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я комиссия образовательной организации ежедневно информирует о количестве поданных заявлений, конкурсе и сдаче вступительных испытаний по каждой специальности, организует функционирование специальных телефонных линий для ответов на все вопросы поступающих.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9.5. Информация о количестве поданных заявлений, конкурсе и результатах сдачи вступительных испытаний должна быть представлена по каждой специальности с выделением форм получения образования, указанием программ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специалитета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и размещена на официальном сайте образовательной организации и на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информационном стенде приемной комиссии.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9.6. Информация об образовательной организации, её государст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венной регистрации, наименовании зарегистрировавшего её органа, объеме государственного задания на очередной финансовый год должна быть размещена на интернет-сайте органа исполнительной власти, выдавшего государственное задание образовательной организации.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9.7. О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бразовательная организация обязана своевременно предоставить получателю достоверную информацию о государственной услуге, ознакомить с правилами и условиями получения государственной услуги. В состав информации о государственной услуге должны быть включены: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настоящий Стандарт;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наименование федеральных государственных стандартов высшего образования, обучение по которым ведется в образовательной организации;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информация об условиях предоставления государственной услуги;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информация о возможности влияния получателей государственной услуги на качество услуги;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сведения о средствах коммуникации получателей государственной услуги с работниками образовательной организации;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информация о возможности оценки качества государственной услуги со стороны получателя;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информация о предоставлении платных услуг с указанием размера стоимости услуги;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правила и условия эффективного и безопасного предоставления государственной услуги;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гарантийные обязательства образовательной организации.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9.8. Способ и порядок предоставления информации определяются в с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оответствии с законодательством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Российской Федерации.</w:t>
      </w:r>
      <w:bookmarkEnd w:id="26"/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center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outlineLvl w:val="0"/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X. 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Исчерпывающий перечень оснований для отказа в предоставлении 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outlineLvl w:val="0"/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государственной услуги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/>
      <w:bookmarkStart w:id="28" w:name="sub_1101"/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10.1. Основаниями для отказа в предоставлении государственной услуги являются:</w:t>
      </w:r>
      <w:bookmarkEnd w:id="28"/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отсутствие одного или нескольких документов, приведенных в перечне документов, необходимых для получения государственной услуги, согласно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разделу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III настоящего Стандарта;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получение по результатам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единого государственного экзамена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, на вступительных испытаниях или дополнительных вступительных испытаниях результата ниже установленного минимального количества баллов, подтверждающего успешное прохождение вступительных испытаний или дополнительных вступительных испытаний;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получение по результатам единого государственного экзамена результата ниже установленного образовательной организацией минимального количества баллов, по которым проводится прием на обучение;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неявка без уважительной причины на вступительные испытания или дополнительные вступительные испытания;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наличие медицинских противопоказаний.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10.2. Основаниями для прекращения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предоставления государственной услуги являются: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по инициативе обучающегося или родителей (законных представителей) несовершеннолетнего обучающегося, в том числе в случае перевода обучающегося для продолжения освоения образовательной программы в другую организацию, осуществляющую образовательную деятел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ьность;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/>
    </w:p>
    <w:p>
      <w:pPr>
        <w:ind w:firstLine="720"/>
        <w:jc w:val="both"/>
        <w:spacing w:after="0" w:line="240" w:lineRule="auto"/>
        <w:widowControl w:val="off"/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по инициативе образовательной организации в случае применения к обучающемуся, достигшему возраста пятнадцати лет, отчисления как меры дисциплинарного взыскания, в случае невыполнения обучающимся по профессиональной образоват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льной программе обязанностей по добросовестному освоению такой образовательной программы и выполнению учебного плана, а также в случае установления нарушения порядка приема в образовательную организацию, повлекшего по вине обучающегося его незаконное зачис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ление в образовательную организацию;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/>
    </w:p>
    <w:p>
      <w:pPr>
        <w:ind w:firstLine="720"/>
        <w:jc w:val="both"/>
        <w:spacing w:after="0" w:line="240" w:lineRule="auto"/>
        <w:widowControl w:val="off"/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по обстоятельствам, не зависящим от воли обучающегося или родителей (законных представителей) несовершеннолетнего обучающегося и образовательной организации, в том числе в случае ликвидации образовательной организации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10.3. Порядок отчисления обучающихся определяется уставом образовательной организации.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  <w:sectPr>
          <w:headerReference w:type="default" r:id="rId9"/>
          <w:headerReference w:type="first" r:id="rId10"/>
          <w:footnotePr/>
          <w:endnotePr/>
          <w:type w:val="nextPage"/>
          <w:pgSz w:w="11906" w:h="16838" w:orient="portrait"/>
          <w:pgMar w:top="1134" w:right="567" w:bottom="1134" w:left="1134" w:header="709" w:footer="709" w:gutter="0"/>
          <w:cols w:num="1" w:sep="0" w:space="708" w:equalWidth="1"/>
          <w:docGrid w:linePitch="360"/>
          <w:titlePg/>
        </w:sect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pStyle w:val="87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XI</w:t>
      </w:r>
      <w:r>
        <w:rPr>
          <w:rFonts w:ascii="Times New Roman" w:hAnsi="Times New Roman" w:cs="Times New Roman"/>
          <w:b/>
          <w:sz w:val="28"/>
          <w:szCs w:val="28"/>
        </w:rPr>
        <w:t xml:space="preserve">. Описание результата предоставления государственной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7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услуги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left="0" w:right="0" w:firstLine="709"/>
        <w:jc w:val="both"/>
        <w:spacing w:line="240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</w:rPr>
        <w:t xml:space="preserve">Результат предоставления государственной услуги оценивается следующими индикаторами качества предоставления государственной услуги: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tbl>
      <w:tblPr>
        <w:tblStyle w:val="888"/>
        <w:tblW w:w="5000" w:type="pct"/>
        <w:jc w:val="center"/>
        <w:tblBorders>
          <w:bottom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3124"/>
        <w:gridCol w:w="1553"/>
        <w:gridCol w:w="5244"/>
        <w:gridCol w:w="1984"/>
        <w:gridCol w:w="1694"/>
        <w:gridCol w:w="1538"/>
      </w:tblGrid>
      <w:tr>
        <w:tblPrEx/>
        <w:trPr>
          <w:cantSplit/>
          <w:jc w:val="center"/>
          <w:trHeight w:val="727"/>
        </w:trPr>
        <w:tc>
          <w:tcPr>
            <w:tcW w:w="312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Наименование показателя оценки качества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W w:w="155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Единица измерения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W w:w="524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Формула расчета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W w:w="19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Весовой коэффициент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W w:w="169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Пороговое значение</w:t>
            </w:r>
            <w:r>
              <w:rPr>
                <w:rFonts w:ascii="Times New Roman" w:hAnsi="Times New Roman" w:eastAsiaTheme="minorHAnsi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/>
              </w:rPr>
              <w:t xml:space="preserve">показателя 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ffffff" w:fill="ffffff"/>
            <w:tcW w:w="153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Источник информации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  <w:p>
            <w:pPr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</w:tr>
    </w:tbl>
    <w:p>
      <w:pPr>
        <w:spacing w:after="0" w:line="240" w:lineRule="auto"/>
        <w:rPr>
          <w:sz w:val="2"/>
          <w:szCs w:val="2"/>
        </w:rPr>
      </w:pPr>
      <w:r>
        <w:rPr>
          <w:sz w:val="2"/>
          <w:szCs w:val="2"/>
        </w:rPr>
      </w:r>
      <w:r>
        <w:rPr>
          <w:sz w:val="2"/>
          <w:szCs w:val="2"/>
        </w:rPr>
      </w:r>
      <w:r>
        <w:rPr>
          <w:sz w:val="2"/>
          <w:szCs w:val="2"/>
        </w:rPr>
      </w:r>
    </w:p>
    <w:tbl>
      <w:tblPr>
        <w:tblStyle w:val="888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3080"/>
        <w:gridCol w:w="1597"/>
        <w:gridCol w:w="5244"/>
        <w:gridCol w:w="1984"/>
        <w:gridCol w:w="1701"/>
        <w:gridCol w:w="1531"/>
      </w:tblGrid>
      <w:tr>
        <w:tblPrEx/>
        <w:trPr>
          <w:cantSplit/>
          <w:jc w:val="center"/>
          <w:trHeight w:val="114"/>
          <w:tblHeader/>
        </w:trPr>
        <w:tc>
          <w:tcPr>
            <w:tcW w:w="308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1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W w:w="159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2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W w:w="524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3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W w:w="19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4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5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ffffff" w:fill="ffffff"/>
            <w:tcW w:w="153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6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</w:tr>
      <w:tr>
        <w:tblPrEx/>
        <w:trPr>
          <w:cantSplit/>
          <w:jc w:val="center"/>
          <w:trHeight w:val="1134"/>
        </w:trPr>
        <w:tc>
          <w:tcPr>
            <w:tcW w:w="3080" w:type="dxa"/>
            <w:textDirection w:val="lrTb"/>
            <w:noWrap w:val="false"/>
          </w:tcPr>
          <w:p>
            <w:pPr>
              <w:ind w:firstLine="32"/>
              <w:jc w:val="both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1. Доля выпускников, получивших диплом о высшем образовании, в общей численности выпускников по программам высшего образования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W w:w="1597" w:type="dxa"/>
            <w:textDirection w:val="lrTb"/>
            <w:noWrap w:val="false"/>
          </w:tcPr>
          <w:p>
            <w:pPr>
              <w:ind w:firstLine="32"/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процентов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W w:w="524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i/>
              </w:rPr>
            </w:pPr>
            <w:r/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eastAsia="Times New Roma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Times New Roman" w:hAnsi="Times New Roman"/>
                          </w:rPr>
                          <m:rPr>
                            <m:nor m:val="on"/>
                          </m:rPr>
                          <m:t>В</m:t>
                        </m:r>
                      </m:e>
                      <m:sub>
                        <m:r>
                          <w:rPr>
                            <w:rFonts w:ascii="Times New Roman" w:hAnsi="Times New Roman"/>
                          </w:rPr>
                          <m:rPr>
                            <m:nor m:val="on"/>
                          </m:rPr>
                          <m:t>д</m:t>
                        </m:r>
                      </m:sub>
                    </m:sSub>
                  </m:num>
                  <m:den>
                    <m:r>
                      <w:rPr>
                        <w:rFonts w:ascii="Times New Roman" w:hAnsi="Times New Roman" w:eastAsia="Times New Roman"/>
                      </w:rPr>
                      <m:rPr>
                        <m:nor m:val="on"/>
                      </m:rPr>
                      <m:t>В</m:t>
                    </m:r>
                  </m:den>
                </m:f>
                <m:r>
                  <w:rPr>
                    <w:rFonts w:ascii="Times New Roman" w:hAnsi="Times New Roman"/>
                    <w:color w:val="000000"/>
                  </w:rPr>
                  <m:rPr>
                    <m:nor m:val="on"/>
                  </m:rPr>
                  <m:t> × 100%</m:t>
                </m:r>
                <m:r>
                  <w:rPr>
                    <w:rFonts w:ascii="Times New Roman" w:hAnsi="Times New Roman" w:eastAsia="Times New Roman"/>
                  </w:rPr>
                  <m:rPr>
                    <m:nor m:val="on"/>
                  </m:rPr>
                  <m:t>, </m:t>
                </m:r>
              </m:oMath>
            </m:oMathPara>
            <w:r>
              <w:rPr>
                <w:rFonts w:ascii="Times New Roman" w:hAnsi="Times New Roman" w:eastAsia="Times New Roman"/>
                <w:i/>
              </w:rPr>
            </w:r>
            <w:r>
              <w:rPr>
                <w:rFonts w:ascii="Times New Roman" w:hAnsi="Times New Roman" w:eastAsia="Times New Roman"/>
                <w:i/>
              </w:rPr>
            </w:r>
          </w:p>
          <w:p>
            <w:pPr>
              <w:ind w:firstLine="32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</w:rPr>
            </w:r>
          </w:p>
          <w:p>
            <w:pPr>
              <w:ind w:firstLine="32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где:                     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  <w:p>
            <w:pPr>
              <w:ind w:firstLine="32"/>
              <w:jc w:val="both"/>
              <w:rPr>
                <w:rFonts w:ascii="Times New Roman" w:hAnsi="Times New Roman" w:eastAsia="Times New Roman"/>
              </w:rPr>
            </w:pPr>
            <w:r/>
            <m:oMath>
              <m:sSub>
                <m:sSubPr>
                  <m:ctrlPr>
                    <w:rPr>
                      <w:rFonts w:ascii="Cambria Math" w:hAnsi="Cambria Math" w:eastAsia="Times New Roman"/>
                      <w:i/>
                    </w:rPr>
                  </m:ctrlPr>
                </m:sSubPr>
                <m:e>
                  <m:r>
                    <w:rPr>
                      <w:rFonts w:ascii="Times New Roman" w:hAnsi="Times New Roman" w:eastAsia="Times New Roman"/>
                    </w:rPr>
                    <m:rPr>
                      <m:nor m:val="on"/>
                    </m:rPr>
                    <m:t>В</m:t>
                  </m:r>
                </m:e>
                <m:sub>
                  <m:r>
                    <w:rPr>
                      <w:rFonts w:ascii="Times New Roman" w:hAnsi="Times New Roman" w:eastAsia="Times New Roman"/>
                    </w:rPr>
                    <m:rPr>
                      <m:nor m:val="on"/>
                    </m:rPr>
                    <m:t>д</m:t>
                  </m:r>
                </m:sub>
              </m:sSub>
              <m:r>
                <w:rPr>
                  <w:rFonts w:ascii="Cambria Math" w:hAnsi="Cambria Math" w:eastAsia="Times New Roman"/>
                </w:rPr>
                <m:rPr/>
                <m:t> </m:t>
              </m:r>
            </m:oMath>
            <w:r>
              <w:rPr>
                <w:rFonts w:ascii="Times New Roman" w:hAnsi="Times New Roman" w:eastAsia="Times New Roman"/>
              </w:rPr>
              <w:t xml:space="preserve">– число выпускников образовательной</w:t>
            </w:r>
            <w:r>
              <w:rPr>
                <w:rFonts w:ascii="Times New Roman" w:hAnsi="Times New Roman" w:eastAsia="Times New Roman"/>
              </w:rPr>
              <w:t xml:space="preserve"> организации</w:t>
            </w:r>
            <w:r>
              <w:rPr>
                <w:rFonts w:ascii="Times New Roman" w:hAnsi="Times New Roman" w:eastAsia="Times New Roman"/>
              </w:rPr>
              <w:t xml:space="preserve"> по программам </w:t>
            </w:r>
            <w:r>
              <w:rPr>
                <w:rFonts w:ascii="Times New Roman" w:hAnsi="Times New Roman" w:eastAsia="Times New Roman"/>
              </w:rPr>
              <w:t xml:space="preserve">специалитета</w:t>
            </w:r>
            <w:r>
              <w:rPr>
                <w:rFonts w:ascii="Times New Roman" w:hAnsi="Times New Roman" w:eastAsia="Times New Roman"/>
              </w:rPr>
              <w:t xml:space="preserve">, получивших диплом о высшем образовании;             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  <w:p>
            <w:pPr>
              <w:ind w:firstLine="32"/>
              <w:jc w:val="both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В – общая численность выпускников по программам </w:t>
            </w:r>
            <w:r>
              <w:rPr>
                <w:rFonts w:ascii="Times New Roman" w:hAnsi="Times New Roman" w:eastAsia="Times New Roman"/>
              </w:rPr>
              <w:t xml:space="preserve">специалитета</w:t>
            </w:r>
            <w:r>
              <w:rPr>
                <w:rFonts w:ascii="Times New Roman" w:hAnsi="Times New Roman" w:eastAsia="Times New Roman"/>
              </w:rPr>
              <w:t xml:space="preserve">              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ind w:firstLine="32"/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10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ind w:firstLine="32"/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100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W w:w="1531" w:type="dxa"/>
            <w:textDirection w:val="lrTb"/>
            <w:noWrap w:val="false"/>
          </w:tcPr>
          <w:p>
            <w:pPr>
              <w:pStyle w:val="720"/>
              <w:jc w:val="both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форма федерального статистического наблюдения № ВПО-1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  <w:p>
            <w:pPr>
              <w:pStyle w:val="720"/>
              <w:jc w:val="both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«Сведения об образовательной организации, осуществляющей образовательную деятельность по образовательным программам высшего образования» (утверждена приказом Федеральной службы государственной статистики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 от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white"/>
              </w:rPr>
              <w:t xml:space="preserve">18.09.2024 № 419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</w:tc>
      </w:tr>
      <w:tr>
        <w:tblPrEx/>
        <w:trPr>
          <w:jc w:val="center"/>
        </w:trPr>
        <w:tc>
          <w:tcPr>
            <w:tcW w:w="3080" w:type="dxa"/>
            <w:textDirection w:val="lrTb"/>
            <w:noWrap w:val="false"/>
          </w:tcPr>
          <w:p>
            <w:pPr>
              <w:ind w:firstLine="32"/>
              <w:jc w:val="both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2. Доля получателей государственной услуги, удовлетворенных качеством и доступностью услуги         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W w:w="1597" w:type="dxa"/>
            <w:textDirection w:val="lrTb"/>
            <w:noWrap w:val="false"/>
          </w:tcPr>
          <w:p>
            <w:pPr>
              <w:ind w:firstLine="32"/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процентов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W w:w="524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i/>
              </w:rPr>
            </w:pPr>
            <w:r/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eastAsia="Times New Roman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 w:eastAsia="Times New Roman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eastAsia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Times New Roman" w:hAnsi="Times New Roman" w:eastAsia="Times New Roman"/>
                              </w:rPr>
                              <m:rPr>
                                <m:nor m:val="on"/>
                              </m:rPr>
                              <m:t>О</m:t>
                            </m:r>
                          </m:e>
                          <m:sub>
                            <m:r>
                              <w:rPr>
                                <w:rFonts w:ascii="Times New Roman" w:hAnsi="Times New Roman" w:eastAsia="Times New Roman"/>
                              </w:rPr>
                              <m:rPr>
                                <m:nor m:val="on"/>
                              </m:rPr>
                              <m:t>к</m:t>
                            </m:r>
                          </m:sub>
                        </m:sSub>
                        <m:r>
                          <w:rPr>
                            <w:rFonts w:ascii="Times New Roman" w:hAnsi="Times New Roman" w:eastAsia="Times New Roman"/>
                          </w:rPr>
                          <m:rPr>
                            <m:nor m:val="on"/>
                          </m:rPr>
                          <m:t>+ </m:t>
                        </m:r>
                        <m:sSub>
                          <m:sSubPr>
                            <m:ctrlPr>
                              <w:rPr>
                                <w:rFonts w:ascii="Cambria Math" w:hAnsi="Cambria Math" w:eastAsia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Times New Roman" w:hAnsi="Times New Roman" w:eastAsia="Times New Roman"/>
                              </w:rPr>
                              <m:rPr>
                                <m:nor m:val="on"/>
                              </m:rPr>
                              <m:t>О</m:t>
                            </m:r>
                          </m:e>
                          <m:sub>
                            <m:r>
                              <w:rPr>
                                <w:rFonts w:ascii="Times New Roman" w:hAnsi="Times New Roman" w:eastAsia="Times New Roman"/>
                              </w:rPr>
                              <m:rPr>
                                <m:nor m:val="on"/>
                              </m:rPr>
                              <m:t>д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Times New Roman" w:hAnsi="Times New Roman" w:eastAsia="Times New Roman"/>
                          </w:rPr>
                          <m:rPr>
                            <m:nor m:val="on"/>
                          </m:rPr>
                          <m:t>2</m:t>
                        </m:r>
                      </m:den>
                    </m:f>
                  </m:num>
                  <m:den>
                    <m:sSub>
                      <m:sSubPr>
                        <m:ctrlPr>
                          <w:rPr>
                            <w:rFonts w:ascii="Cambria Math" w:hAnsi="Cambria Math" w:eastAsia="Times New Roman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Times New Roman" w:hAnsi="Times New Roman" w:eastAsia="Times New Roman"/>
                          </w:rPr>
                          <m:rPr>
                            <m:nor m:val="on"/>
                          </m:rPr>
                          <m:t>О</m:t>
                        </m:r>
                      </m:e>
                      <m:sub>
                        <m:r>
                          <w:rPr>
                            <w:rFonts w:ascii="Times New Roman" w:hAnsi="Times New Roman" w:eastAsia="Times New Roman"/>
                          </w:rPr>
                          <m:rPr>
                            <m:nor m:val="on"/>
                          </m:rPr>
                          <m:t>общ</m:t>
                        </m:r>
                      </m:sub>
                    </m:sSub>
                  </m:den>
                </m:f>
                <m:r>
                  <w:rPr>
                    <w:rFonts w:ascii="Cambria Math" w:hAnsi="Times New Roman"/>
                    <w:color w:val="000000"/>
                  </w:rPr>
                  <m:rPr>
                    <m:nor m:val="on"/>
                  </m:rPr>
                  <m:t> </m:t>
                </m:r>
                <m:r>
                  <w:rPr>
                    <w:rFonts w:ascii="Times New Roman" w:hAnsi="Times New Roman"/>
                    <w:color w:val="000000"/>
                  </w:rPr>
                  <m:rPr>
                    <m:nor m:val="on"/>
                  </m:rPr>
                  <m:t>× 100%</m:t>
                </m:r>
                <m:r>
                  <w:rPr>
                    <w:rFonts w:ascii="Times New Roman" w:hAnsi="Times New Roman" w:eastAsia="Times New Roman"/>
                  </w:rPr>
                  <m:rPr>
                    <m:nor m:val="on"/>
                  </m:rPr>
                  <m:t>, </m:t>
                </m:r>
              </m:oMath>
            </m:oMathPara>
            <w:r>
              <w:rPr>
                <w:rFonts w:ascii="Times New Roman" w:hAnsi="Times New Roman" w:eastAsia="Times New Roman"/>
                <w:i/>
              </w:rPr>
            </w:r>
            <w:r>
              <w:rPr>
                <w:rFonts w:ascii="Times New Roman" w:hAnsi="Times New Roman" w:eastAsia="Times New Roman"/>
                <w:i/>
              </w:rPr>
            </w:r>
          </w:p>
          <w:p>
            <w:pPr>
              <w:ind w:firstLine="32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</w:rPr>
            </w:r>
          </w:p>
          <w:p>
            <w:pPr>
              <w:ind w:firstLine="32"/>
              <w:jc w:val="both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где:</w:t>
            </w:r>
            <w:r>
              <w:rPr>
                <w:rFonts w:ascii="Times New Roman" w:hAnsi="Times New Roman" w:eastAsia="Times New Roman"/>
              </w:rPr>
              <w:br/>
            </w:r>
            <m:oMath>
              <m:sSub>
                <m:sSubPr>
                  <m:ctrlPr>
                    <w:rPr>
                      <w:rFonts w:ascii="Cambria Math" w:hAnsi="Cambria Math" w:eastAsia="Times New Roman"/>
                      <w:i/>
                    </w:rPr>
                  </m:ctrlPr>
                </m:sSubPr>
                <m:e>
                  <m:r>
                    <w:rPr>
                      <w:rFonts w:ascii="Times New Roman" w:hAnsi="Times New Roman" w:eastAsia="Times New Roman"/>
                    </w:rPr>
                    <m:rPr>
                      <m:nor m:val="on"/>
                    </m:rPr>
                    <m:t>О</m:t>
                  </m:r>
                </m:e>
                <m:sub>
                  <m:r>
                    <w:rPr>
                      <w:rFonts w:ascii="Times New Roman" w:hAnsi="Times New Roman" w:eastAsia="Times New Roman"/>
                    </w:rPr>
                    <m:rPr>
                      <m:nor m:val="on"/>
                    </m:rPr>
                    <m:t>к</m:t>
                  </m:r>
                </m:sub>
              </m:sSub>
            </m:oMath>
            <w:r>
              <w:rPr>
                <w:rFonts w:ascii="Times New Roman" w:hAnsi="Times New Roman" w:eastAsia="Times New Roman"/>
              </w:rPr>
              <w:t xml:space="preserve"> </w:t>
            </w:r>
            <w:r>
              <w:rPr>
                <w:rFonts w:ascii="Times New Roman" w:hAnsi="Times New Roman" w:eastAsia="Times New Roman"/>
              </w:rPr>
              <w:t xml:space="preserve">–</w:t>
            </w:r>
            <w:r>
              <w:rPr>
                <w:rFonts w:ascii="Times New Roman" w:hAnsi="Times New Roman" w:eastAsia="Times New Roman"/>
              </w:rPr>
              <w:t xml:space="preserve"> число опрошенных, удовлетворенных качеством услуг;</w:t>
            </w:r>
            <w:r>
              <w:rPr>
                <w:rFonts w:ascii="Times New Roman" w:hAnsi="Times New Roman" w:eastAsia="Times New Roman"/>
              </w:rPr>
              <w:br/>
            </w:r>
            <m:oMath>
              <m:sSub>
                <m:sSubPr>
                  <m:ctrlPr>
                    <w:rPr>
                      <w:rFonts w:ascii="Cambria Math" w:hAnsi="Cambria Math" w:eastAsia="Times New Roman"/>
                      <w:i/>
                    </w:rPr>
                  </m:ctrlPr>
                </m:sSubPr>
                <m:e>
                  <m:r>
                    <w:rPr>
                      <w:rFonts w:ascii="Times New Roman" w:hAnsi="Times New Roman" w:eastAsia="Times New Roman"/>
                    </w:rPr>
                    <m:rPr>
                      <m:nor m:val="on"/>
                    </m:rPr>
                    <m:t>О</m:t>
                  </m:r>
                </m:e>
                <m:sub>
                  <m:r>
                    <w:rPr>
                      <w:rFonts w:ascii="Times New Roman" w:hAnsi="Times New Roman" w:eastAsia="Times New Roman"/>
                    </w:rPr>
                    <m:rPr>
                      <m:nor m:val="on"/>
                    </m:rPr>
                    <m:t>д</m:t>
                  </m:r>
                </m:sub>
              </m:sSub>
            </m:oMath>
            <w:r>
              <w:rPr>
                <w:rFonts w:ascii="Times New Roman" w:hAnsi="Times New Roman" w:eastAsia="Times New Roman"/>
              </w:rPr>
              <w:t xml:space="preserve"> –</w:t>
            </w:r>
            <w:r>
              <w:rPr>
                <w:rFonts w:ascii="Times New Roman" w:hAnsi="Times New Roman" w:eastAsia="Times New Roman"/>
              </w:rPr>
              <w:t xml:space="preserve"> число опрошенных, удовлетворенных доступностью услуг;</w:t>
            </w:r>
            <w:r>
              <w:rPr>
                <w:rFonts w:ascii="Times New Roman" w:hAnsi="Times New Roman" w:eastAsia="Times New Roman"/>
              </w:rPr>
              <w:br/>
            </w:r>
            <m:oMath>
              <m:sSub>
                <m:sSubPr>
                  <m:ctrlPr>
                    <w:rPr>
                      <w:rFonts w:ascii="Cambria Math" w:hAnsi="Cambria Math" w:eastAsia="Times New Roman"/>
                      <w:i/>
                    </w:rPr>
                  </m:ctrlPr>
                </m:sSubPr>
                <m:e>
                  <m:r>
                    <w:rPr>
                      <w:rFonts w:ascii="Times New Roman" w:hAnsi="Times New Roman" w:eastAsia="Times New Roman"/>
                    </w:rPr>
                    <m:rPr>
                      <m:nor m:val="on"/>
                    </m:rPr>
                    <m:t>О</m:t>
                  </m:r>
                </m:e>
                <m:sub>
                  <m:r>
                    <w:rPr>
                      <w:rFonts w:ascii="Times New Roman" w:hAnsi="Times New Roman" w:eastAsia="Times New Roman"/>
                    </w:rPr>
                    <m:rPr>
                      <m:nor m:val="on"/>
                    </m:rPr>
                    <m:t>общ</m:t>
                  </m:r>
                </m:sub>
              </m:sSub>
            </m:oMath>
            <w:r>
              <w:rPr>
                <w:rFonts w:ascii="Times New Roman" w:hAnsi="Times New Roman" w:eastAsia="Times New Roman"/>
              </w:rPr>
              <w:t xml:space="preserve"> –</w:t>
            </w:r>
            <w:r>
              <w:rPr>
                <w:rFonts w:ascii="Times New Roman" w:hAnsi="Times New Roman" w:eastAsia="Times New Roman"/>
              </w:rPr>
              <w:t xml:space="preserve"> общее число опрошенных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ind w:firstLine="32"/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9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ind w:firstLine="32"/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90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W w:w="1531" w:type="dxa"/>
            <w:textDirection w:val="lrTb"/>
            <w:noWrap w:val="false"/>
          </w:tcPr>
          <w:p>
            <w:pPr>
              <w:pStyle w:val="720"/>
              <w:jc w:val="both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определяется по результатам опросов обучающихся, их родителей (законных представителей) и работодателей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</w:tc>
      </w:tr>
      <w:tr>
        <w:tblPrEx/>
        <w:trPr>
          <w:jc w:val="center"/>
        </w:trPr>
        <w:tc>
          <w:tcPr>
            <w:tcW w:w="3080" w:type="dxa"/>
            <w:textDirection w:val="lrTb"/>
            <w:noWrap w:val="false"/>
          </w:tcPr>
          <w:p>
            <w:pPr>
              <w:ind w:firstLine="32"/>
              <w:jc w:val="both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3. Доля обоснованных жалоб получателей государственной услуги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W w:w="1597" w:type="dxa"/>
            <w:textDirection w:val="lrTb"/>
            <w:noWrap w:val="false"/>
          </w:tcPr>
          <w:p>
            <w:pPr>
              <w:ind w:firstLine="32"/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процентов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W w:w="524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i/>
              </w:rPr>
            </w:pPr>
            <w:r/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eastAsia="Times New Roma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rPr/>
                          <m:t>Ж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rPr/>
                          <m:t>о</m:t>
                        </m:r>
                      </m:sub>
                    </m:sSub>
                  </m:num>
                  <m:den>
                    <m:r>
                      <w:rPr>
                        <w:rFonts w:ascii="Times New Roman" w:hAnsi="Times New Roman" w:eastAsia="Times New Roman"/>
                      </w:rPr>
                      <m:rPr>
                        <m:nor m:val="on"/>
                      </m:rPr>
                      <m:t>Ж</m:t>
                    </m:r>
                  </m:den>
                </m:f>
                <m:r>
                  <w:rPr>
                    <w:rFonts w:ascii="Cambria Math" w:hAnsi="Times New Roman"/>
                    <w:color w:val="000000"/>
                  </w:rPr>
                  <m:rPr>
                    <m:nor m:val="on"/>
                  </m:rPr>
                  <m:t> </m:t>
                </m:r>
                <m:r>
                  <w:rPr>
                    <w:rFonts w:ascii="Times New Roman" w:hAnsi="Times New Roman"/>
                    <w:color w:val="000000"/>
                  </w:rPr>
                  <m:rPr>
                    <m:nor m:val="on"/>
                  </m:rPr>
                  <m:t>× 100%</m:t>
                </m:r>
                <m:r>
                  <w:rPr>
                    <w:rFonts w:ascii="Times New Roman" w:hAnsi="Times New Roman" w:eastAsia="Times New Roman"/>
                  </w:rPr>
                  <m:rPr>
                    <m:nor m:val="on"/>
                  </m:rPr>
                  <m:t>, </m:t>
                </m:r>
              </m:oMath>
            </m:oMathPara>
            <w:r>
              <w:rPr>
                <w:rFonts w:ascii="Times New Roman" w:hAnsi="Times New Roman" w:eastAsia="Times New Roman"/>
                <w:i/>
              </w:rPr>
            </w:r>
            <w:r>
              <w:rPr>
                <w:rFonts w:ascii="Times New Roman" w:hAnsi="Times New Roman" w:eastAsia="Times New Roman"/>
                <w:i/>
              </w:rPr>
            </w:r>
          </w:p>
          <w:p>
            <w:pPr>
              <w:ind w:firstLine="32"/>
              <w:rPr>
                <w:rFonts w:ascii="Times New Roman" w:hAnsi="Times New Roman" w:eastAsia="Times New Roman"/>
                <w:sz w:val="16"/>
              </w:rPr>
            </w:pPr>
            <w:r>
              <w:rPr>
                <w:rFonts w:ascii="Times New Roman" w:hAnsi="Times New Roman" w:eastAsia="Times New Roman"/>
                <w:sz w:val="16"/>
              </w:rPr>
            </w:r>
            <w:r>
              <w:rPr>
                <w:rFonts w:ascii="Times New Roman" w:hAnsi="Times New Roman" w:eastAsia="Times New Roman"/>
                <w:sz w:val="16"/>
              </w:rPr>
            </w:r>
            <w:r>
              <w:rPr>
                <w:rFonts w:ascii="Times New Roman" w:hAnsi="Times New Roman" w:eastAsia="Times New Roman"/>
                <w:sz w:val="16"/>
              </w:rPr>
            </w:r>
          </w:p>
          <w:p>
            <w:pPr>
              <w:ind w:firstLine="32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где: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  <w:p>
            <w:pPr>
              <w:ind w:firstLine="32"/>
              <w:jc w:val="both"/>
              <w:rPr>
                <w:rFonts w:ascii="Times New Roman" w:hAnsi="Times New Roman" w:eastAsia="Times New Roman"/>
              </w:rPr>
            </w:pPr>
            <w:r/>
            <m:oMath>
              <m:sSub>
                <m:sSubPr>
                  <m:ctrlPr>
                    <w:rPr>
                      <w:rFonts w:ascii="Cambria Math" w:hAnsi="Cambria Math" w:eastAsia="Times New Roman"/>
                      <w:i/>
                    </w:rPr>
                  </m:ctrlPr>
                </m:sSubPr>
                <m:e>
                  <m:r>
                    <w:rPr>
                      <w:rFonts w:ascii="Times New Roman" w:hAnsi="Times New Roman" w:eastAsia="Times New Roman"/>
                    </w:rPr>
                    <m:rPr>
                      <m:nor m:val="on"/>
                    </m:rPr>
                    <m:t>Ж</m:t>
                  </m:r>
                </m:e>
                <m:sub>
                  <m:r>
                    <w:rPr>
                      <w:rFonts w:ascii="Times New Roman" w:hAnsi="Times New Roman" w:eastAsia="Times New Roman"/>
                    </w:rPr>
                    <m:rPr>
                      <m:nor m:val="on"/>
                    </m:rPr>
                    <m:t>о</m:t>
                  </m:r>
                </m:sub>
              </m:sSub>
            </m:oMath>
            <w:r>
              <w:rPr>
                <w:rFonts w:ascii="Times New Roman" w:hAnsi="Times New Roman" w:eastAsia="Times New Roman"/>
              </w:rPr>
              <w:t xml:space="preserve"> </w:t>
            </w:r>
            <w:r>
              <w:rPr>
                <w:rFonts w:ascii="Times New Roman" w:hAnsi="Times New Roman" w:eastAsia="Times New Roman"/>
              </w:rPr>
              <w:t xml:space="preserve"> </w:t>
            </w:r>
            <w:r>
              <w:rPr>
                <w:rFonts w:ascii="Times New Roman" w:hAnsi="Times New Roman" w:eastAsia="Times New Roman"/>
              </w:rPr>
              <w:t xml:space="preserve">– </w:t>
            </w:r>
            <w:r>
              <w:rPr>
                <w:rFonts w:ascii="Times New Roman" w:hAnsi="Times New Roman" w:eastAsia="Times New Roman"/>
              </w:rPr>
              <w:t xml:space="preserve">число обоснованных жалоб получателей государственной услуги, поступивших в отчетный период;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  <w:p>
            <w:pPr>
              <w:ind w:firstLine="32"/>
              <w:jc w:val="both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Ж </w:t>
            </w:r>
            <w:r>
              <w:rPr>
                <w:rFonts w:ascii="Times New Roman" w:hAnsi="Times New Roman" w:eastAsia="Times New Roman"/>
              </w:rPr>
              <w:t xml:space="preserve">–</w:t>
            </w:r>
            <w:r>
              <w:rPr>
                <w:rFonts w:ascii="Times New Roman" w:hAnsi="Times New Roman" w:eastAsia="Times New Roman"/>
              </w:rPr>
              <w:t xml:space="preserve"> общее число жалоб получателей государственной услуги, поступивших в отчетный период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ind w:firstLine="32"/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9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ind w:firstLine="32"/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0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W w:w="1531" w:type="dxa"/>
            <w:textDirection w:val="lrTb"/>
            <w:noWrap w:val="false"/>
          </w:tcPr>
          <w:p>
            <w:pPr>
              <w:pStyle w:val="720"/>
              <w:jc w:val="both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определяется на основании анализа жалоб, поступивших в виде писем по почте либо электронной почте, и сведений о принятых по ним мерах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</w:tc>
      </w:tr>
      <w:tr>
        <w:tblPrEx/>
        <w:trPr>
          <w:jc w:val="center"/>
          <w:trHeight w:val="703"/>
        </w:trPr>
        <w:tc>
          <w:tcPr>
            <w:tcW w:w="3080" w:type="dxa"/>
            <w:textDirection w:val="lrTb"/>
            <w:noWrap w:val="false"/>
          </w:tcPr>
          <w:p>
            <w:pPr>
              <w:ind w:firstLine="32"/>
              <w:jc w:val="both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4. Доля профессорско-преподавательского состава (далее – ППС) с учеными степенями и званиями, работающего в образовательной </w:t>
            </w:r>
            <w:r>
              <w:rPr>
                <w:rFonts w:ascii="Times New Roman" w:hAnsi="Times New Roman" w:eastAsia="Times New Roman"/>
              </w:rPr>
              <w:t xml:space="preserve">организации </w:t>
            </w:r>
            <w:r>
              <w:rPr>
                <w:rFonts w:ascii="Times New Roman" w:hAnsi="Times New Roman" w:eastAsia="Times New Roman"/>
              </w:rPr>
              <w:t xml:space="preserve">на штатной основе 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W w:w="1597" w:type="dxa"/>
            <w:textDirection w:val="lrTb"/>
            <w:noWrap w:val="false"/>
          </w:tcPr>
          <w:p>
            <w:pPr>
              <w:ind w:firstLine="32"/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процентов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W w:w="524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i/>
              </w:rPr>
            </w:pPr>
            <w:r/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eastAsia="Times New Roman"/>
                      </w:rPr>
                    </m:ctrlPr>
                  </m:fPr>
                  <m:num>
                    <m:r>
                      <w:rPr>
                        <w:rFonts w:ascii="Cambria Math" w:hAnsi="Cambria Math" w:eastAsia="Times New Roman"/>
                      </w:rPr>
                      <m:rPr/>
                      <m:t>А</m:t>
                    </m:r>
                  </m:num>
                  <m:den>
                    <m:r>
                      <w:rPr>
                        <w:rFonts w:ascii="Times New Roman" w:hAnsi="Times New Roman" w:eastAsia="Times New Roman"/>
                      </w:rPr>
                      <m:rPr>
                        <m:nor m:val="on"/>
                      </m:rPr>
                      <m:t>В</m:t>
                    </m:r>
                  </m:den>
                </m:f>
                <m:r>
                  <w:rPr>
                    <w:rFonts w:ascii="Cambria Math" w:hAnsi="Times New Roman"/>
                    <w:color w:val="000000"/>
                  </w:rPr>
                  <m:rPr>
                    <m:nor m:val="on"/>
                  </m:rPr>
                  <m:t> </m:t>
                </m:r>
                <m:r>
                  <w:rPr>
                    <w:rFonts w:ascii="Times New Roman" w:hAnsi="Times New Roman"/>
                    <w:color w:val="000000"/>
                  </w:rPr>
                  <m:rPr>
                    <m:nor m:val="on"/>
                  </m:rPr>
                  <m:t>× 100%</m:t>
                </m:r>
                <m:r>
                  <w:rPr>
                    <w:rFonts w:ascii="Times New Roman" w:hAnsi="Times New Roman" w:eastAsia="Times New Roman"/>
                  </w:rPr>
                  <m:rPr>
                    <m:nor m:val="on"/>
                  </m:rPr>
                  <m:t>, </m:t>
                </m:r>
              </m:oMath>
            </m:oMathPara>
            <w:r>
              <w:rPr>
                <w:rFonts w:ascii="Times New Roman" w:hAnsi="Times New Roman" w:eastAsia="Times New Roman"/>
                <w:i/>
              </w:rPr>
            </w:r>
            <w:r>
              <w:rPr>
                <w:rFonts w:ascii="Times New Roman" w:hAnsi="Times New Roman" w:eastAsia="Times New Roman"/>
                <w:i/>
              </w:rPr>
            </w:r>
          </w:p>
          <w:p>
            <w:pPr>
              <w:ind w:firstLine="32"/>
              <w:rPr>
                <w:rFonts w:ascii="Times New Roman" w:hAnsi="Times New Roman" w:eastAsia="Times New Roman"/>
                <w:sz w:val="16"/>
              </w:rPr>
            </w:pPr>
            <w:r>
              <w:rPr>
                <w:rFonts w:ascii="Times New Roman" w:hAnsi="Times New Roman" w:eastAsia="Times New Roman"/>
                <w:sz w:val="16"/>
              </w:rPr>
            </w:r>
            <w:r>
              <w:rPr>
                <w:rFonts w:ascii="Times New Roman" w:hAnsi="Times New Roman" w:eastAsia="Times New Roman"/>
                <w:sz w:val="16"/>
              </w:rPr>
            </w:r>
            <w:r>
              <w:rPr>
                <w:rFonts w:ascii="Times New Roman" w:hAnsi="Times New Roman" w:eastAsia="Times New Roman"/>
                <w:sz w:val="16"/>
              </w:rPr>
            </w:r>
          </w:p>
          <w:p>
            <w:pPr>
              <w:ind w:firstLine="32"/>
              <w:jc w:val="both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где:</w:t>
            </w:r>
            <w:r>
              <w:rPr>
                <w:rFonts w:ascii="Times New Roman" w:hAnsi="Times New Roman" w:eastAsia="Times New Roman"/>
              </w:rPr>
              <w:br/>
              <w:t xml:space="preserve"> А – число ППС с учеными степенями и званиями, работающего на штатной основе;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  <w:p>
            <w:pPr>
              <w:ind w:firstLine="32"/>
              <w:jc w:val="both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В – общее количество ППС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ind w:firstLine="32"/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4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ind w:firstLine="32"/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60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W w:w="1531" w:type="dxa"/>
            <w:textDirection w:val="lrTb"/>
            <w:noWrap w:val="false"/>
          </w:tcPr>
          <w:p>
            <w:pPr>
              <w:pStyle w:val="720"/>
              <w:jc w:val="both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ф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орма федерального статистического наблюдения № ВПО-1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  <w:p>
            <w:pPr>
              <w:pStyle w:val="720"/>
              <w:jc w:val="both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«Сведения об образовательной организации, осуществляющей образовательную деятельность по образовательным программам высшего образования» (утверждена приказом Федеральной службы государственной статистики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 от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white"/>
              </w:rPr>
              <w:t xml:space="preserve">18.09.2024 № 419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</w:tc>
      </w:tr>
    </w:tbl>
    <w:p>
      <w:pPr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rPr>
          <w:lang w:eastAsia="ru-RU"/>
        </w:rPr>
        <w:sectPr>
          <w:footnotePr/>
          <w:endnotePr/>
          <w:type w:val="nextPage"/>
          <w:pgSz w:w="16838" w:h="11906" w:orient="landscape"/>
          <w:pgMar w:top="1134" w:right="567" w:bottom="1021" w:left="1134" w:header="709" w:footer="709" w:gutter="0"/>
          <w:cols w:num="1" w:sep="0" w:space="708" w:equalWidth="1"/>
          <w:docGrid w:linePitch="360"/>
        </w:sect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pStyle w:val="87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XII</w:t>
      </w:r>
      <w:r>
        <w:rPr>
          <w:rFonts w:ascii="Times New Roman" w:hAnsi="Times New Roman" w:cs="Times New Roman"/>
          <w:b/>
          <w:sz w:val="28"/>
          <w:szCs w:val="28"/>
        </w:rPr>
        <w:t xml:space="preserve">. Порядок подачи, регистрации и рассмотрения жалоб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7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несоблюдение </w:t>
      </w:r>
      <w:r>
        <w:rPr>
          <w:rFonts w:ascii="Times New Roman" w:hAnsi="Times New Roman" w:cs="Times New Roman"/>
          <w:b/>
          <w:sz w:val="28"/>
          <w:szCs w:val="28"/>
        </w:rPr>
        <w:t xml:space="preserve">настоящего </w:t>
      </w:r>
      <w:r>
        <w:rPr>
          <w:rFonts w:ascii="Times New Roman" w:hAnsi="Times New Roman" w:cs="Times New Roman"/>
          <w:b/>
          <w:sz w:val="28"/>
          <w:szCs w:val="28"/>
        </w:rPr>
        <w:t xml:space="preserve">Стандарта 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12.1. Жалоба на нарушение порядка предоставления государственной услуги (далее – жалоб</w:t>
      </w:r>
      <w:r>
        <w:rPr>
          <w:rFonts w:ascii="Times New Roman" w:hAnsi="Times New Roman"/>
          <w:sz w:val="28"/>
          <w:szCs w:val="28"/>
        </w:rPr>
        <w:t xml:space="preserve">а) подается в письменной форме на бумажном носителе или в электронной форме в образовательную организацию. Жалобы на решения и действия (бездействие) руководителя образовательной организации подаются </w:t>
      </w:r>
      <w:r>
        <w:rPr>
          <w:rFonts w:ascii="Times New Roman" w:hAnsi="Times New Roman"/>
          <w:sz w:val="28"/>
          <w:szCs w:val="28"/>
        </w:rPr>
        <w:t xml:space="preserve">получателем государственной услуги</w:t>
      </w:r>
      <w:r>
        <w:rPr>
          <w:rFonts w:ascii="Times New Roman" w:hAnsi="Times New Roman"/>
          <w:sz w:val="28"/>
          <w:szCs w:val="28"/>
        </w:rPr>
        <w:t xml:space="preserve"> в Министерство образования и науки Республики Татарстан.</w:t>
      </w:r>
      <w:r>
        <w:rPr>
          <w:rFonts w:ascii="Times New Roman" w:hAnsi="Times New Roman"/>
          <w:color w:val="ff0000"/>
          <w:sz w:val="28"/>
          <w:szCs w:val="28"/>
        </w:rPr>
      </w:r>
      <w:r>
        <w:rPr>
          <w:rFonts w:ascii="Times New Roman" w:hAnsi="Times New Roman"/>
          <w:color w:val="ff0000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12.2. Жалоба на решения и действия (бездействие) образовательной организации, руководителя образовательной</w:t>
      </w:r>
      <w:r>
        <w:rPr>
          <w:rFonts w:ascii="Times New Roman" w:hAnsi="Times New Roman"/>
          <w:sz w:val="28"/>
          <w:szCs w:val="28"/>
        </w:rPr>
        <w:t xml:space="preserve"> организации, работника образовательной организации может быть направлена по почте, с использованием информационно-телекоммуникационной сети «Интернет», официального сайта образовательной организации, официального сайта Министерства образования и науки Рес</w:t>
      </w:r>
      <w:r>
        <w:rPr>
          <w:rFonts w:ascii="Times New Roman" w:hAnsi="Times New Roman"/>
          <w:sz w:val="28"/>
          <w:szCs w:val="28"/>
        </w:rPr>
        <w:t xml:space="preserve">публики Татарстан, единого портала государственных услуг Российской Федерации (www.gosuslugi.ru), либо портала государственных услуг Республики Татарстан (uslugi.tatarstan.ru), а также может быть принята при личном приеме получателя государственной услуги.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12.3. Жалоба должна отвечать требованиям, установленным законодательством.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12.4. Жалоба подлежит рассмотрению должностным лицом, наделенным полномочиями по рассмотрению жалоб, в течение 15 рабочих дней со дня ее регистрации, а в случае обжалования отказа образовательной организации, долж</w:t>
      </w:r>
      <w:r>
        <w:rPr>
          <w:rFonts w:ascii="Times New Roman" w:hAnsi="Times New Roman"/>
          <w:sz w:val="28"/>
          <w:szCs w:val="28"/>
        </w:rPr>
        <w:t xml:space="preserve">ностного лица образовательной организации в приеме документов у получателя услуги либо в исправлении допущенных опечаток и ошибок или в случае обжалования нарушения установленного срока таких исправлений – в течение пяти рабочих дней со дня ее регистрации.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12.5. По результатам рассмотрения жалобы в соответствии с законодательством при</w:t>
      </w:r>
      <w:r>
        <w:rPr>
          <w:rFonts w:ascii="Times New Roman" w:hAnsi="Times New Roman"/>
          <w:sz w:val="28"/>
          <w:szCs w:val="28"/>
        </w:rPr>
        <w:t xml:space="preserve">нимается решение и не позднее дня, следующего за днем его принятия, получателю государственной услуги в письменной форме и по желанию получателя государственной услуги в электронной форме направляется мотивированный ответ о результатах рассмотрения жалобы.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33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12.6. В случае признания жалобы подлежащей удовлетворению в ответе получателю государственной услуги дается информация о действиях, осуществляемых образовательной организацией, в целях незамедлительного устранения выявленных наруше</w:t>
      </w:r>
      <w:r>
        <w:rPr>
          <w:rFonts w:ascii="Times New Roman" w:hAnsi="Times New Roman"/>
          <w:sz w:val="28"/>
          <w:szCs w:val="28"/>
        </w:rPr>
        <w:t xml:space="preserve">ний при предоставлении государственной услуги, а также приносятся извинения за доставленные неудобства и указывается информация о дальнейших действиях, которые необходимо совершить получателю государственной услуги в целях получения государственной услуги.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33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12.7. В случае признания жалобы не подлежащей удовлетворению в ответе получателю государственной услуги даются аргументированные разъяснения о причинах принятого решения, а также информация о порядке обжалования принятого решения.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33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12.8. В случае удовле</w:t>
      </w:r>
      <w:r>
        <w:rPr>
          <w:rFonts w:ascii="Times New Roman" w:hAnsi="Times New Roman"/>
          <w:sz w:val="28"/>
          <w:szCs w:val="28"/>
        </w:rPr>
        <w:t xml:space="preserve">творения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12.9. П</w:t>
      </w:r>
      <w:r>
        <w:rPr>
          <w:rFonts w:ascii="Times New Roman" w:hAnsi="Times New Roman"/>
          <w:sz w:val="28"/>
          <w:szCs w:val="28"/>
        </w:rPr>
        <w:t xml:space="preserve">олучатель государственной услуги вправе обжаловать решения и действия (бездействие) должностных лиц образовательных организаций, связанные с предоставлением государственной услуги, в судебном порядке в соответствии с законодательством Российской Федерации.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9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</w:r>
      <w:r>
        <w:rPr>
          <w:rFonts w:ascii="Times New Roman" w:hAnsi="Times New Roman" w:cs="Times New Roman"/>
          <w:color w:val="ff0000"/>
          <w:sz w:val="28"/>
          <w:szCs w:val="28"/>
        </w:rPr>
      </w:r>
      <w:r>
        <w:rPr>
          <w:rFonts w:ascii="Times New Roman" w:hAnsi="Times New Roman" w:cs="Times New Roman"/>
          <w:color w:val="ff0000"/>
          <w:sz w:val="28"/>
          <w:szCs w:val="28"/>
        </w:rPr>
      </w:r>
    </w:p>
    <w:p>
      <w:pPr>
        <w:pStyle w:val="87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XIII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 xml:space="preserve">Порядок контроля за предоставлением государственной услуги со стороны органов государственной власти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79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13.1. Контроль за соблюдением образовательной организацией </w:t>
      </w:r>
      <w:r>
        <w:rPr>
          <w:rFonts w:ascii="Times New Roman" w:hAnsi="Times New Roman" w:cs="Times New Roman"/>
          <w:sz w:val="28"/>
          <w:szCs w:val="28"/>
        </w:rPr>
        <w:t xml:space="preserve">независимо от ее организационно-правовой формы </w:t>
      </w:r>
      <w:r>
        <w:rPr>
          <w:rFonts w:ascii="Times New Roman" w:hAnsi="Times New Roman" w:cs="Times New Roman"/>
          <w:sz w:val="28"/>
          <w:szCs w:val="28"/>
        </w:rPr>
        <w:t xml:space="preserve">предусмотренных лицензией </w:t>
      </w:r>
      <w:r>
        <w:rPr>
          <w:rFonts w:ascii="Times New Roman" w:hAnsi="Times New Roman" w:cs="Times New Roman"/>
          <w:sz w:val="28"/>
          <w:szCs w:val="28"/>
        </w:rPr>
        <w:t xml:space="preserve">условий </w:t>
      </w:r>
      <w:r>
        <w:rPr>
          <w:rFonts w:ascii="Times New Roman" w:hAnsi="Times New Roman" w:cs="Times New Roman"/>
          <w:sz w:val="28"/>
          <w:szCs w:val="28"/>
        </w:rPr>
        <w:t xml:space="preserve">обеспечивает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государственный орган управления образованием, выдавший лицензию. В случае нарушения этих условий лицензия подлежит изъятию.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13.2.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Государственная аттестационная служба мож</w:t>
      </w:r>
      <w:r>
        <w:rPr>
          <w:rFonts w:ascii="Times New Roman" w:hAnsi="Times New Roman" w:cs="Times New Roman"/>
          <w:sz w:val="28"/>
          <w:szCs w:val="28"/>
        </w:rPr>
        <w:t xml:space="preserve">ет направить образовательной организации, имеющей государственную аккредитацию, рекламацию на качество образования и (или) несоответствие образования требованиям соответствующего федерального государственного образовательного стандарта высшего образования.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13.3. </w:t>
      </w:r>
      <w:r>
        <w:rPr>
          <w:rFonts w:ascii="Times New Roman" w:hAnsi="Times New Roman" w:cs="Times New Roman"/>
          <w:sz w:val="28"/>
          <w:szCs w:val="28"/>
        </w:rPr>
        <w:t xml:space="preserve">Контроль за предоставлением государственной услуги со стороны органов государственной власти осуществляется в соответствии с </w:t>
      </w:r>
      <w:hyperlink r:id="rId13" w:tooltip="consultantplus://offline/ref=5948FCC1EAA9EC899B0F1DF4E12881279662199E534A15D450CDA8942C3ABE4ADAqFM" w:history="1">
        <w:r>
          <w:rPr>
            <w:rFonts w:ascii="Times New Roman" w:hAnsi="Times New Roman" w:cs="Times New Roman"/>
            <w:sz w:val="28"/>
            <w:szCs w:val="28"/>
          </w:rPr>
          <w:t xml:space="preserve">постановлением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Кабинета Министров Респуб</w:t>
      </w:r>
      <w:r>
        <w:rPr>
          <w:rFonts w:ascii="Times New Roman" w:hAnsi="Times New Roman" w:cs="Times New Roman"/>
          <w:sz w:val="28"/>
          <w:szCs w:val="28"/>
        </w:rPr>
        <w:t xml:space="preserve">лики Татарстан от 30.06.2009 № 446 «О Порядке проведения оценки соответствия качества фактически предоставляемых государственных услуг установленным стандартам качества государственных услуг, оказываемых государственными учреждениями Республики Татарстан».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9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XIV</w:t>
      </w:r>
      <w:r>
        <w:rPr>
          <w:rFonts w:ascii="Times New Roman" w:hAnsi="Times New Roman" w:cs="Times New Roman"/>
          <w:b/>
          <w:sz w:val="28"/>
          <w:szCs w:val="28"/>
        </w:rPr>
        <w:t xml:space="preserve">. Информация о предоставлении государственной услуги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7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 плату или бесплатно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7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Государственная услуга предоставляется бесплатно.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footnotePr/>
      <w:endnotePr/>
      <w:type w:val="nextPage"/>
      <w:pgSz w:w="11906" w:h="16838" w:orient="portrait"/>
      <w:pgMar w:top="1134" w:right="567" w:bottom="1134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 Math">
    <w:panose1 w:val="02000603000000000000"/>
  </w:font>
  <w:font w:name="Times New Roman CYR">
    <w:panose1 w:val="02020603050405020304"/>
  </w:font>
  <w:font w:name="Tahoma">
    <w:panose1 w:val="020B06040305040402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2067450029"/>
      <w:docPartObj>
        <w:docPartGallery w:val="Page Numbers (Top of Page)"/>
        <w:docPartUnique w:val="true"/>
      </w:docPartObj>
      <w:rPr/>
    </w:sdtPr>
    <w:sdtContent>
      <w:p>
        <w:pPr>
          <w:pStyle w:val="882"/>
          <w:jc w:val="center"/>
        </w:pP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PAGE   \* MERGEFORMAT</w:instrText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21</w:t>
        </w:r>
        <w:r>
          <w:rPr>
            <w:rFonts w:ascii="Times New Roman" w:hAnsi="Times New Roman"/>
            <w:sz w:val="28"/>
            <w:szCs w:val="28"/>
          </w:rPr>
          <w:fldChar w:fldCharType="end"/>
        </w:r>
        <w:r/>
      </w:p>
    </w:sdtContent>
  </w:sdt>
  <w:p>
    <w:pPr>
      <w:pStyle w:val="882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2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 w:eastAsia="Calibri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800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6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800" w:hanging="72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02">
    <w:name w:val="Heading 1"/>
    <w:basedOn w:val="875"/>
    <w:next w:val="875"/>
    <w:link w:val="70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03">
    <w:name w:val="Heading 1 Char"/>
    <w:basedOn w:val="876"/>
    <w:link w:val="702"/>
    <w:uiPriority w:val="9"/>
    <w:rPr>
      <w:rFonts w:ascii="Arial" w:hAnsi="Arial" w:eastAsia="Arial" w:cs="Arial"/>
      <w:sz w:val="40"/>
      <w:szCs w:val="40"/>
    </w:rPr>
  </w:style>
  <w:style w:type="paragraph" w:styleId="704">
    <w:name w:val="Heading 2"/>
    <w:basedOn w:val="875"/>
    <w:next w:val="875"/>
    <w:link w:val="70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05">
    <w:name w:val="Heading 2 Char"/>
    <w:basedOn w:val="876"/>
    <w:link w:val="704"/>
    <w:uiPriority w:val="9"/>
    <w:rPr>
      <w:rFonts w:ascii="Arial" w:hAnsi="Arial" w:eastAsia="Arial" w:cs="Arial"/>
      <w:sz w:val="34"/>
    </w:rPr>
  </w:style>
  <w:style w:type="paragraph" w:styleId="706">
    <w:name w:val="Heading 3"/>
    <w:basedOn w:val="875"/>
    <w:next w:val="875"/>
    <w:link w:val="70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07">
    <w:name w:val="Heading 3 Char"/>
    <w:basedOn w:val="876"/>
    <w:link w:val="706"/>
    <w:uiPriority w:val="9"/>
    <w:rPr>
      <w:rFonts w:ascii="Arial" w:hAnsi="Arial" w:eastAsia="Arial" w:cs="Arial"/>
      <w:sz w:val="30"/>
      <w:szCs w:val="30"/>
    </w:rPr>
  </w:style>
  <w:style w:type="paragraph" w:styleId="708">
    <w:name w:val="Heading 4"/>
    <w:basedOn w:val="875"/>
    <w:next w:val="875"/>
    <w:link w:val="70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09">
    <w:name w:val="Heading 4 Char"/>
    <w:basedOn w:val="876"/>
    <w:link w:val="708"/>
    <w:uiPriority w:val="9"/>
    <w:rPr>
      <w:rFonts w:ascii="Arial" w:hAnsi="Arial" w:eastAsia="Arial" w:cs="Arial"/>
      <w:b/>
      <w:bCs/>
      <w:sz w:val="26"/>
      <w:szCs w:val="26"/>
    </w:rPr>
  </w:style>
  <w:style w:type="paragraph" w:styleId="710">
    <w:name w:val="Heading 5"/>
    <w:basedOn w:val="875"/>
    <w:next w:val="875"/>
    <w:link w:val="71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11">
    <w:name w:val="Heading 5 Char"/>
    <w:basedOn w:val="876"/>
    <w:link w:val="710"/>
    <w:uiPriority w:val="9"/>
    <w:rPr>
      <w:rFonts w:ascii="Arial" w:hAnsi="Arial" w:eastAsia="Arial" w:cs="Arial"/>
      <w:b/>
      <w:bCs/>
      <w:sz w:val="24"/>
      <w:szCs w:val="24"/>
    </w:rPr>
  </w:style>
  <w:style w:type="paragraph" w:styleId="712">
    <w:name w:val="Heading 6"/>
    <w:basedOn w:val="875"/>
    <w:next w:val="875"/>
    <w:link w:val="71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13">
    <w:name w:val="Heading 6 Char"/>
    <w:basedOn w:val="876"/>
    <w:link w:val="712"/>
    <w:uiPriority w:val="9"/>
    <w:rPr>
      <w:rFonts w:ascii="Arial" w:hAnsi="Arial" w:eastAsia="Arial" w:cs="Arial"/>
      <w:b/>
      <w:bCs/>
      <w:sz w:val="22"/>
      <w:szCs w:val="22"/>
    </w:rPr>
  </w:style>
  <w:style w:type="paragraph" w:styleId="714">
    <w:name w:val="Heading 7"/>
    <w:basedOn w:val="875"/>
    <w:next w:val="875"/>
    <w:link w:val="71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15">
    <w:name w:val="Heading 7 Char"/>
    <w:basedOn w:val="876"/>
    <w:link w:val="71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16">
    <w:name w:val="Heading 8"/>
    <w:basedOn w:val="875"/>
    <w:next w:val="875"/>
    <w:link w:val="71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17">
    <w:name w:val="Heading 8 Char"/>
    <w:basedOn w:val="876"/>
    <w:link w:val="716"/>
    <w:uiPriority w:val="9"/>
    <w:rPr>
      <w:rFonts w:ascii="Arial" w:hAnsi="Arial" w:eastAsia="Arial" w:cs="Arial"/>
      <w:i/>
      <w:iCs/>
      <w:sz w:val="22"/>
      <w:szCs w:val="22"/>
    </w:rPr>
  </w:style>
  <w:style w:type="paragraph" w:styleId="718">
    <w:name w:val="Heading 9"/>
    <w:basedOn w:val="875"/>
    <w:next w:val="875"/>
    <w:link w:val="71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9">
    <w:name w:val="Heading 9 Char"/>
    <w:basedOn w:val="876"/>
    <w:link w:val="718"/>
    <w:uiPriority w:val="9"/>
    <w:rPr>
      <w:rFonts w:ascii="Arial" w:hAnsi="Arial" w:eastAsia="Arial" w:cs="Arial"/>
      <w:i/>
      <w:iCs/>
      <w:sz w:val="21"/>
      <w:szCs w:val="21"/>
    </w:rPr>
  </w:style>
  <w:style w:type="paragraph" w:styleId="720">
    <w:name w:val="No Spacing"/>
    <w:uiPriority w:val="1"/>
    <w:qFormat/>
    <w:pPr>
      <w:spacing w:before="0" w:after="0" w:line="240" w:lineRule="auto"/>
    </w:pPr>
  </w:style>
  <w:style w:type="paragraph" w:styleId="721">
    <w:name w:val="Title"/>
    <w:basedOn w:val="875"/>
    <w:next w:val="875"/>
    <w:link w:val="72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22">
    <w:name w:val="Title Char"/>
    <w:basedOn w:val="876"/>
    <w:link w:val="721"/>
    <w:uiPriority w:val="10"/>
    <w:rPr>
      <w:sz w:val="48"/>
      <w:szCs w:val="48"/>
    </w:rPr>
  </w:style>
  <w:style w:type="paragraph" w:styleId="723">
    <w:name w:val="Subtitle"/>
    <w:basedOn w:val="875"/>
    <w:next w:val="875"/>
    <w:link w:val="724"/>
    <w:uiPriority w:val="11"/>
    <w:qFormat/>
    <w:pPr>
      <w:spacing w:before="200" w:after="200"/>
    </w:pPr>
    <w:rPr>
      <w:sz w:val="24"/>
      <w:szCs w:val="24"/>
    </w:rPr>
  </w:style>
  <w:style w:type="character" w:styleId="724">
    <w:name w:val="Subtitle Char"/>
    <w:basedOn w:val="876"/>
    <w:link w:val="723"/>
    <w:uiPriority w:val="11"/>
    <w:rPr>
      <w:sz w:val="24"/>
      <w:szCs w:val="24"/>
    </w:rPr>
  </w:style>
  <w:style w:type="paragraph" w:styleId="725">
    <w:name w:val="Quote"/>
    <w:basedOn w:val="875"/>
    <w:next w:val="875"/>
    <w:link w:val="726"/>
    <w:uiPriority w:val="29"/>
    <w:qFormat/>
    <w:pPr>
      <w:ind w:left="720" w:right="720"/>
    </w:pPr>
    <w:rPr>
      <w:i/>
    </w:rPr>
  </w:style>
  <w:style w:type="character" w:styleId="726">
    <w:name w:val="Quote Char"/>
    <w:link w:val="725"/>
    <w:uiPriority w:val="29"/>
    <w:rPr>
      <w:i/>
    </w:rPr>
  </w:style>
  <w:style w:type="paragraph" w:styleId="727">
    <w:name w:val="Intense Quote"/>
    <w:basedOn w:val="875"/>
    <w:next w:val="875"/>
    <w:link w:val="72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8">
    <w:name w:val="Intense Quote Char"/>
    <w:link w:val="727"/>
    <w:uiPriority w:val="30"/>
    <w:rPr>
      <w:i/>
    </w:rPr>
  </w:style>
  <w:style w:type="character" w:styleId="729">
    <w:name w:val="Header Char"/>
    <w:basedOn w:val="876"/>
    <w:link w:val="882"/>
    <w:uiPriority w:val="99"/>
  </w:style>
  <w:style w:type="character" w:styleId="730">
    <w:name w:val="Footer Char"/>
    <w:basedOn w:val="876"/>
    <w:link w:val="894"/>
    <w:uiPriority w:val="99"/>
  </w:style>
  <w:style w:type="paragraph" w:styleId="731">
    <w:name w:val="Caption"/>
    <w:basedOn w:val="875"/>
    <w:next w:val="87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32">
    <w:name w:val="Caption Char"/>
    <w:basedOn w:val="731"/>
    <w:link w:val="894"/>
    <w:uiPriority w:val="99"/>
  </w:style>
  <w:style w:type="table" w:styleId="733">
    <w:name w:val="Table Grid Light"/>
    <w:basedOn w:val="87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4">
    <w:name w:val="Plain Table 1"/>
    <w:basedOn w:val="87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5">
    <w:name w:val="Plain Table 2"/>
    <w:basedOn w:val="87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6">
    <w:name w:val="Plain Table 3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7">
    <w:name w:val="Plain Table 4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Plain Table 5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9">
    <w:name w:val="Grid Table 1 Light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Grid Table 1 Light - Accent 1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Grid Table 1 Light - Accent 2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Grid Table 1 Light - Accent 3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Grid Table 1 Light - Accent 4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Grid Table 1 Light - Accent 5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Grid Table 1 Light - Accent 6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Grid Table 2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2 - Accent 1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2 - Accent 2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2 - Accent 3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2 - Accent 4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2 - Accent 5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2 - Accent 6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3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3 - Accent 1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3 - Accent 2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3 - Accent 3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3 - Accent 4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3 - Accent 5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3 - Accent 6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4"/>
    <w:basedOn w:val="87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1">
    <w:name w:val="Grid Table 4 - Accent 1"/>
    <w:basedOn w:val="87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62">
    <w:name w:val="Grid Table 4 - Accent 2"/>
    <w:basedOn w:val="87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63">
    <w:name w:val="Grid Table 4 - Accent 3"/>
    <w:basedOn w:val="87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64">
    <w:name w:val="Grid Table 4 - Accent 4"/>
    <w:basedOn w:val="87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65">
    <w:name w:val="Grid Table 4 - Accent 5"/>
    <w:basedOn w:val="87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66">
    <w:name w:val="Grid Table 4 - Accent 6"/>
    <w:basedOn w:val="87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67">
    <w:name w:val="Grid Table 5 Dark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68">
    <w:name w:val="Grid Table 5 Dark- Accent 1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69">
    <w:name w:val="Grid Table 5 Dark - Accent 2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70">
    <w:name w:val="Grid Table 5 Dark - Accent 3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71">
    <w:name w:val="Grid Table 5 Dark- Accent 4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72">
    <w:name w:val="Grid Table 5 Dark - Accent 5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73">
    <w:name w:val="Grid Table 5 Dark - Accent 6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74">
    <w:name w:val="Grid Table 6 Colorful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75">
    <w:name w:val="Grid Table 6 Colorful - Accent 1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76">
    <w:name w:val="Grid Table 6 Colorful - Accent 2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77">
    <w:name w:val="Grid Table 6 Colorful - Accent 3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78">
    <w:name w:val="Grid Table 6 Colorful - Accent 4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79">
    <w:name w:val="Grid Table 6 Colorful - Accent 5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0">
    <w:name w:val="Grid Table 6 Colorful - Accent 6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1">
    <w:name w:val="Grid Table 7 Colorful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7 Colorful - Accent 1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7 Colorful - Accent 2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7 Colorful - Accent 3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7 Colorful - Accent 4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7 Colorful - Accent 5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7 Colorful - Accent 6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List Table 1 Light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List Table 1 Light - Accent 1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List Table 1 Light - Accent 2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List Table 1 Light - Accent 3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List Table 1 Light - Accent 4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List Table 1 Light - Accent 5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List Table 1 Light - Accent 6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List Table 2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96">
    <w:name w:val="List Table 2 - Accent 1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97">
    <w:name w:val="List Table 2 - Accent 2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98">
    <w:name w:val="List Table 2 - Accent 3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99">
    <w:name w:val="List Table 2 - Accent 4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00">
    <w:name w:val="List Table 2 - Accent 5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01">
    <w:name w:val="List Table 2 - Accent 6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02">
    <w:name w:val="List Table 3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3 - Accent 1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3 - Accent 2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3 - Accent 3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3 - Accent 4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3 - Accent 5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3 - Accent 6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4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4 - Accent 1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4 - Accent 2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4 - Accent 3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4 - Accent 4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List Table 4 - Accent 5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List Table 4 - Accent 6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List Table 5 Dark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7">
    <w:name w:val="List Table 5 Dark - Accent 1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8">
    <w:name w:val="List Table 5 Dark - Accent 2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9">
    <w:name w:val="List Table 5 Dark - Accent 3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0">
    <w:name w:val="List Table 5 Dark - Accent 4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1">
    <w:name w:val="List Table 5 Dark - Accent 5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2">
    <w:name w:val="List Table 5 Dark - Accent 6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3">
    <w:name w:val="List Table 6 Colorful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24">
    <w:name w:val="List Table 6 Colorful - Accent 1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25">
    <w:name w:val="List Table 6 Colorful - Accent 2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26">
    <w:name w:val="List Table 6 Colorful - Accent 3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27">
    <w:name w:val="List Table 6 Colorful - Accent 4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28">
    <w:name w:val="List Table 6 Colorful - Accent 5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29">
    <w:name w:val="List Table 6 Colorful - Accent 6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30">
    <w:name w:val="List Table 7 Colorful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31">
    <w:name w:val="List Table 7 Colorful - Accent 1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32">
    <w:name w:val="List Table 7 Colorful - Accent 2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33">
    <w:name w:val="List Table 7 Colorful - Accent 3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34">
    <w:name w:val="List Table 7 Colorful - Accent 4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35">
    <w:name w:val="List Table 7 Colorful - Accent 5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36">
    <w:name w:val="List Table 7 Colorful - Accent 6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37">
    <w:name w:val="Lined - Accent"/>
    <w:basedOn w:val="8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8">
    <w:name w:val="Lined - Accent 1"/>
    <w:basedOn w:val="8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9">
    <w:name w:val="Lined - Accent 2"/>
    <w:basedOn w:val="8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0">
    <w:name w:val="Lined - Accent 3"/>
    <w:basedOn w:val="8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1">
    <w:name w:val="Lined - Accent 4"/>
    <w:basedOn w:val="8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2">
    <w:name w:val="Lined - Accent 5"/>
    <w:basedOn w:val="8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3">
    <w:name w:val="Lined - Accent 6"/>
    <w:basedOn w:val="8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4">
    <w:name w:val="Bordered &amp; Lined - Accent"/>
    <w:basedOn w:val="8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5">
    <w:name w:val="Bordered &amp; Lined - Accent 1"/>
    <w:basedOn w:val="8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6">
    <w:name w:val="Bordered &amp; Lined - Accent 2"/>
    <w:basedOn w:val="8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7">
    <w:name w:val="Bordered &amp; Lined - Accent 3"/>
    <w:basedOn w:val="8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8">
    <w:name w:val="Bordered &amp; Lined - Accent 4"/>
    <w:basedOn w:val="8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9">
    <w:name w:val="Bordered &amp; Lined - Accent 5"/>
    <w:basedOn w:val="8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50">
    <w:name w:val="Bordered &amp; Lined - Accent 6"/>
    <w:basedOn w:val="8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51">
    <w:name w:val="Bordered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52">
    <w:name w:val="Bordered - Accent 1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53">
    <w:name w:val="Bordered - Accent 2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54">
    <w:name w:val="Bordered - Accent 3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55">
    <w:name w:val="Bordered - Accent 4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56">
    <w:name w:val="Bordered - Accent 5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57">
    <w:name w:val="Bordered - Accent 6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58">
    <w:name w:val="footnote text"/>
    <w:basedOn w:val="875"/>
    <w:link w:val="859"/>
    <w:uiPriority w:val="99"/>
    <w:semiHidden/>
    <w:unhideWhenUsed/>
    <w:pPr>
      <w:spacing w:after="40" w:line="240" w:lineRule="auto"/>
    </w:pPr>
    <w:rPr>
      <w:sz w:val="18"/>
    </w:rPr>
  </w:style>
  <w:style w:type="character" w:styleId="859">
    <w:name w:val="Footnote Text Char"/>
    <w:link w:val="858"/>
    <w:uiPriority w:val="99"/>
    <w:rPr>
      <w:sz w:val="18"/>
    </w:rPr>
  </w:style>
  <w:style w:type="character" w:styleId="860">
    <w:name w:val="footnote reference"/>
    <w:basedOn w:val="876"/>
    <w:uiPriority w:val="99"/>
    <w:unhideWhenUsed/>
    <w:rPr>
      <w:vertAlign w:val="superscript"/>
    </w:rPr>
  </w:style>
  <w:style w:type="paragraph" w:styleId="861">
    <w:name w:val="endnote text"/>
    <w:basedOn w:val="875"/>
    <w:link w:val="862"/>
    <w:uiPriority w:val="99"/>
    <w:semiHidden/>
    <w:unhideWhenUsed/>
    <w:pPr>
      <w:spacing w:after="0" w:line="240" w:lineRule="auto"/>
    </w:pPr>
    <w:rPr>
      <w:sz w:val="20"/>
    </w:rPr>
  </w:style>
  <w:style w:type="character" w:styleId="862">
    <w:name w:val="Endnote Text Char"/>
    <w:link w:val="861"/>
    <w:uiPriority w:val="99"/>
    <w:rPr>
      <w:sz w:val="20"/>
    </w:rPr>
  </w:style>
  <w:style w:type="character" w:styleId="863">
    <w:name w:val="endnote reference"/>
    <w:basedOn w:val="876"/>
    <w:uiPriority w:val="99"/>
    <w:semiHidden/>
    <w:unhideWhenUsed/>
    <w:rPr>
      <w:vertAlign w:val="superscript"/>
    </w:rPr>
  </w:style>
  <w:style w:type="paragraph" w:styleId="864">
    <w:name w:val="toc 1"/>
    <w:basedOn w:val="875"/>
    <w:next w:val="875"/>
    <w:uiPriority w:val="39"/>
    <w:unhideWhenUsed/>
    <w:pPr>
      <w:ind w:left="0" w:right="0" w:firstLine="0"/>
      <w:spacing w:after="57"/>
    </w:pPr>
  </w:style>
  <w:style w:type="paragraph" w:styleId="865">
    <w:name w:val="toc 2"/>
    <w:basedOn w:val="875"/>
    <w:next w:val="875"/>
    <w:uiPriority w:val="39"/>
    <w:unhideWhenUsed/>
    <w:pPr>
      <w:ind w:left="283" w:right="0" w:firstLine="0"/>
      <w:spacing w:after="57"/>
    </w:pPr>
  </w:style>
  <w:style w:type="paragraph" w:styleId="866">
    <w:name w:val="toc 3"/>
    <w:basedOn w:val="875"/>
    <w:next w:val="875"/>
    <w:uiPriority w:val="39"/>
    <w:unhideWhenUsed/>
    <w:pPr>
      <w:ind w:left="567" w:right="0" w:firstLine="0"/>
      <w:spacing w:after="57"/>
    </w:pPr>
  </w:style>
  <w:style w:type="paragraph" w:styleId="867">
    <w:name w:val="toc 4"/>
    <w:basedOn w:val="875"/>
    <w:next w:val="875"/>
    <w:uiPriority w:val="39"/>
    <w:unhideWhenUsed/>
    <w:pPr>
      <w:ind w:left="850" w:right="0" w:firstLine="0"/>
      <w:spacing w:after="57"/>
    </w:pPr>
  </w:style>
  <w:style w:type="paragraph" w:styleId="868">
    <w:name w:val="toc 5"/>
    <w:basedOn w:val="875"/>
    <w:next w:val="875"/>
    <w:uiPriority w:val="39"/>
    <w:unhideWhenUsed/>
    <w:pPr>
      <w:ind w:left="1134" w:right="0" w:firstLine="0"/>
      <w:spacing w:after="57"/>
    </w:pPr>
  </w:style>
  <w:style w:type="paragraph" w:styleId="869">
    <w:name w:val="toc 6"/>
    <w:basedOn w:val="875"/>
    <w:next w:val="875"/>
    <w:uiPriority w:val="39"/>
    <w:unhideWhenUsed/>
    <w:pPr>
      <w:ind w:left="1417" w:right="0" w:firstLine="0"/>
      <w:spacing w:after="57"/>
    </w:pPr>
  </w:style>
  <w:style w:type="paragraph" w:styleId="870">
    <w:name w:val="toc 7"/>
    <w:basedOn w:val="875"/>
    <w:next w:val="875"/>
    <w:uiPriority w:val="39"/>
    <w:unhideWhenUsed/>
    <w:pPr>
      <w:ind w:left="1701" w:right="0" w:firstLine="0"/>
      <w:spacing w:after="57"/>
    </w:pPr>
  </w:style>
  <w:style w:type="paragraph" w:styleId="871">
    <w:name w:val="toc 8"/>
    <w:basedOn w:val="875"/>
    <w:next w:val="875"/>
    <w:uiPriority w:val="39"/>
    <w:unhideWhenUsed/>
    <w:pPr>
      <w:ind w:left="1984" w:right="0" w:firstLine="0"/>
      <w:spacing w:after="57"/>
    </w:pPr>
  </w:style>
  <w:style w:type="paragraph" w:styleId="872">
    <w:name w:val="toc 9"/>
    <w:basedOn w:val="875"/>
    <w:next w:val="875"/>
    <w:uiPriority w:val="39"/>
    <w:unhideWhenUsed/>
    <w:pPr>
      <w:ind w:left="2268" w:right="0" w:firstLine="0"/>
      <w:spacing w:after="57"/>
    </w:pPr>
  </w:style>
  <w:style w:type="paragraph" w:styleId="873">
    <w:name w:val="TOC Heading"/>
    <w:uiPriority w:val="39"/>
    <w:unhideWhenUsed/>
  </w:style>
  <w:style w:type="paragraph" w:styleId="874">
    <w:name w:val="table of figures"/>
    <w:basedOn w:val="875"/>
    <w:next w:val="875"/>
    <w:uiPriority w:val="99"/>
    <w:unhideWhenUsed/>
    <w:pPr>
      <w:spacing w:after="0" w:afterAutospacing="0"/>
    </w:pPr>
  </w:style>
  <w:style w:type="paragraph" w:styleId="875" w:default="1">
    <w:name w:val="Normal"/>
    <w:qFormat/>
    <w:rPr>
      <w:rFonts w:ascii="Calibri" w:hAnsi="Calibri" w:eastAsia="Calibri" w:cs="Times New Roman"/>
    </w:rPr>
  </w:style>
  <w:style w:type="character" w:styleId="876" w:default="1">
    <w:name w:val="Default Paragraph Font"/>
    <w:uiPriority w:val="1"/>
    <w:semiHidden/>
    <w:unhideWhenUsed/>
  </w:style>
  <w:style w:type="table" w:styleId="87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78" w:default="1">
    <w:name w:val="No List"/>
    <w:uiPriority w:val="99"/>
    <w:semiHidden/>
    <w:unhideWhenUsed/>
  </w:style>
  <w:style w:type="paragraph" w:styleId="879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880" w:customStyle="1">
    <w:name w:val="ConsPlusTitlePage"/>
    <w:pPr>
      <w:spacing w:after="0" w:line="240" w:lineRule="auto"/>
      <w:widowControl w:val="off"/>
    </w:pPr>
    <w:rPr>
      <w:rFonts w:ascii="Tahoma" w:hAnsi="Tahoma" w:eastAsia="Times New Roman" w:cs="Tahoma"/>
      <w:sz w:val="20"/>
      <w:szCs w:val="20"/>
      <w:lang w:eastAsia="ru-RU"/>
    </w:rPr>
  </w:style>
  <w:style w:type="table" w:styleId="881">
    <w:name w:val="Table Grid"/>
    <w:basedOn w:val="877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82">
    <w:name w:val="Header"/>
    <w:basedOn w:val="875"/>
    <w:link w:val="883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83" w:customStyle="1">
    <w:name w:val="Верхний колонтитул Знак"/>
    <w:basedOn w:val="876"/>
    <w:link w:val="882"/>
    <w:uiPriority w:val="99"/>
    <w:rPr>
      <w:rFonts w:ascii="Calibri" w:hAnsi="Calibri" w:eastAsia="Calibri" w:cs="Times New Roman"/>
    </w:rPr>
  </w:style>
  <w:style w:type="paragraph" w:styleId="884">
    <w:name w:val="Balloon Text"/>
    <w:basedOn w:val="875"/>
    <w:link w:val="88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85" w:customStyle="1">
    <w:name w:val="Текст выноски Знак"/>
    <w:basedOn w:val="876"/>
    <w:link w:val="884"/>
    <w:uiPriority w:val="99"/>
    <w:semiHidden/>
    <w:rPr>
      <w:rFonts w:ascii="Tahoma" w:hAnsi="Tahoma" w:eastAsia="Calibri" w:cs="Tahoma"/>
      <w:sz w:val="16"/>
      <w:szCs w:val="16"/>
    </w:rPr>
  </w:style>
  <w:style w:type="paragraph" w:styleId="886" w:customStyle="1">
    <w:name w:val="ConsPlusCell"/>
    <w:uiPriority w:val="99"/>
    <w:pPr>
      <w:spacing w:after="0" w:line="240" w:lineRule="auto"/>
      <w:widowControl w:val="off"/>
    </w:pPr>
    <w:rPr>
      <w:rFonts w:ascii="Times New Roman" w:hAnsi="Times New Roman" w:cs="Times New Roman" w:eastAsiaTheme="minorEastAsia"/>
      <w:sz w:val="28"/>
      <w:szCs w:val="28"/>
      <w:lang w:eastAsia="ru-RU"/>
    </w:rPr>
  </w:style>
  <w:style w:type="paragraph" w:styleId="887">
    <w:name w:val="List Paragraph"/>
    <w:basedOn w:val="875"/>
    <w:uiPriority w:val="34"/>
    <w:qFormat/>
    <w:pPr>
      <w:contextualSpacing/>
      <w:ind w:left="720"/>
    </w:pPr>
  </w:style>
  <w:style w:type="table" w:styleId="888" w:customStyle="1">
    <w:name w:val="Сетка таблицы1"/>
    <w:basedOn w:val="877"/>
    <w:next w:val="881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889" w:customStyle="1">
    <w:name w:val="Нет списка1"/>
    <w:next w:val="878"/>
    <w:uiPriority w:val="99"/>
    <w:semiHidden/>
    <w:unhideWhenUsed/>
  </w:style>
  <w:style w:type="table" w:styleId="890" w:customStyle="1">
    <w:name w:val="Сетка таблицы2"/>
    <w:basedOn w:val="877"/>
    <w:next w:val="881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891" w:customStyle="1">
    <w:name w:val="Сетка таблицы3"/>
    <w:basedOn w:val="877"/>
    <w:next w:val="881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92">
    <w:name w:val="Hyperlink"/>
    <w:basedOn w:val="876"/>
    <w:uiPriority w:val="99"/>
    <w:unhideWhenUsed/>
    <w:rPr>
      <w:color w:val="0000ff" w:themeColor="hyperlink"/>
      <w:u w:val="single"/>
    </w:rPr>
  </w:style>
  <w:style w:type="table" w:styleId="893" w:customStyle="1">
    <w:name w:val="Сетка таблицы4"/>
    <w:basedOn w:val="877"/>
    <w:next w:val="881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94">
    <w:name w:val="Footer"/>
    <w:basedOn w:val="875"/>
    <w:link w:val="895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95" w:customStyle="1">
    <w:name w:val="Нижний колонтитул Знак"/>
    <w:basedOn w:val="876"/>
    <w:link w:val="894"/>
    <w:uiPriority w:val="99"/>
    <w:rPr>
      <w:rFonts w:ascii="Calibri" w:hAnsi="Calibri" w:eastAsia="Calibri" w:cs="Times New Roman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customXml" Target="../customXml/item1.xml" /><Relationship Id="rId12" Type="http://schemas.openxmlformats.org/officeDocument/2006/relationships/hyperlink" Target="consultantplus://offline/ref=DEE7102FDBEFEF8DD62882B517E893604B51F79CB393FEA70D6A5FTAKBF" TargetMode="External"/><Relationship Id="rId13" Type="http://schemas.openxmlformats.org/officeDocument/2006/relationships/hyperlink" Target="consultantplus://offline/ref=5948FCC1EAA9EC899B0F1DF4E12881279662199E534A15D450CDA8942C3ABE4ADAqFM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ACF673-D41E-4030-9A72-B8C6BA3F8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Р7-Офис/2024.2.1.466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revision>8</cp:revision>
  <dcterms:created xsi:type="dcterms:W3CDTF">2020-04-22T12:54:00Z</dcterms:created>
  <dcterms:modified xsi:type="dcterms:W3CDTF">2025-05-07T08:06:33Z</dcterms:modified>
</cp:coreProperties>
</file>