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3"/>
        <w:ind w:firstLine="68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3"/>
        <w:ind w:firstLine="68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3"/>
        <w:ind w:firstLine="68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Кабинета Министров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3"/>
        <w:ind w:firstLine="68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Республики Татарстан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3"/>
        <w:ind w:firstLine="68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________ 20</w:t>
      </w:r>
      <w:r>
        <w:rPr>
          <w:rFonts w:ascii="Times New Roman" w:hAnsi="Times New Roman" w:cs="Times New Roman"/>
          <w:sz w:val="28"/>
          <w:szCs w:val="28"/>
        </w:rPr>
        <w:t xml:space="preserve">25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______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3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/>
      <w:bookmarkStart w:id="0" w:name="P33"/>
      <w:r/>
      <w:bookmarkEnd w:id="0"/>
      <w:r>
        <w:rPr>
          <w:rFonts w:ascii="Times New Roman" w:hAnsi="Times New Roman" w:cs="Times New Roman"/>
          <w:sz w:val="28"/>
          <w:szCs w:val="28"/>
        </w:rPr>
        <w:t xml:space="preserve">Стандарт качества государственной услуги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7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программ высшего образования -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 бакалавриат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1"/>
        <w:numPr>
          <w:ilvl w:val="0"/>
          <w:numId w:val="5"/>
        </w:numPr>
        <w:ind w:left="0" w:right="0" w:hanging="196"/>
        <w:jc w:val="center"/>
        <w:spacing w:after="0" w:line="240" w:lineRule="auto"/>
        <w:widowControl w:val="off"/>
        <w:tabs>
          <w:tab w:val="left" w:pos="2127" w:leader="none"/>
        </w:tabs>
        <w:rPr>
          <w:rFonts w:ascii="Times New Roman" w:hAnsi="Times New Roman"/>
          <w:b/>
          <w:bCs/>
          <w:sz w:val="28"/>
          <w:szCs w:val="28"/>
        </w:rPr>
        <w:outlineLvl w:val="1"/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Категории (в том числе льготные) получателей 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left="0" w:right="0" w:firstLine="0"/>
        <w:jc w:val="center"/>
        <w:spacing w:after="0" w:line="240" w:lineRule="auto"/>
        <w:widowControl w:val="off"/>
        <w:tabs>
          <w:tab w:val="left" w:pos="2127" w:leader="none"/>
        </w:tabs>
        <w:rPr>
          <w:rFonts w:ascii="Times New Roman" w:hAnsi="Times New Roman"/>
          <w:b/>
          <w:bCs/>
          <w:sz w:val="28"/>
          <w:szCs w:val="28"/>
        </w:rPr>
        <w:outlineLvl w:val="1"/>
      </w:pPr>
      <w:r>
        <w:rPr>
          <w:rFonts w:ascii="Times New Roman" w:hAnsi="Times New Roman"/>
          <w:b/>
          <w:bCs/>
          <w:sz w:val="28"/>
          <w:szCs w:val="28"/>
        </w:rPr>
        <w:t xml:space="preserve">государственной услуги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87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1.1.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Получателями государственной услуги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программ высшего образования - программ бакалавриат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»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(далее – государственная услуга)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являются лица,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имеющие среднее общее образование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(далее – гражданин, получатель государственной услуги).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При приеме на обучение по программам бакалавриата гражданам могут быть предоставлены особые права: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1) прием без вступительных испытаний;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2)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прием в пределах установленной или отдельной квоты при условии успешного прохождения вступительных испытаний;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3) преимущественное право зачисления при условии успешного прохождения вступительных испытаний и при прочих равных условиях;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) иные особые права, установленные статьей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71 Федерального закона от </w:t>
      </w:r>
      <w:r>
        <w:rPr>
          <w:rFonts w:ascii="Times New Roman" w:hAnsi="Times New Roman" w:eastAsia="Times New Roman"/>
          <w:sz w:val="28"/>
          <w:szCs w:val="28"/>
          <w:lang w:eastAsia="ru-RU"/>
        </w:rPr>
        <w:br/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29 декабря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2012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года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№ 273-ФЗ «Об образовании в Российской Федерации»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(далее – Федеральный закон).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1.3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Перечень граждан, которым предоставляются особые права при приеме на обучение по программам бакалавриата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а также порядок и основания предоставления особых прав устанавливаются статьей 71 Федерального закона, если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Федеральным законом не установлено иное. Другие категории граждан, которым могут предоставляться предусмотренные пунктами 3 и 4 части 1 статьи 71 Федерального закона особые права при приеме на обучение по в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оенным профессиональным образовательным программам и (или) образовательным программам, содержащим сведения, составляющую государственную тайну, устанавливаются уполномоченными Правительством Российской Федерации федеральными органами исполнительной власти.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1.4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При приеме на обучение по программам бакалавриата за счет бюджетных ассигнований бюджета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Республики Татарстан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граждане могут воспользоваться особыми правами, предоставленными им и указанными в пункт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 1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части 1 статьи 71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       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Федерального закона, подав по своему выбору заявление о приеме в одну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образовательную организацию высшего образования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(далее – образовательная орга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низация), на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одну образовательную программу высшего образования. 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1.5</w:t>
      </w:r>
      <w:r>
        <w:rPr>
          <w:rFonts w:ascii="Times New Roman" w:hAnsi="Times New Roman"/>
          <w:sz w:val="28"/>
          <w:szCs w:val="28"/>
          <w:highlight w:val="white"/>
        </w:rPr>
        <w:t xml:space="preserve">. Право на прием без вступительных испытаний имеют: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left="0" w:right="0"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1) победители и призеры заключительного этапа всероссийской олимпиады школьников, члены сборных команд Российской Федерации, участвовавших в междун</w:t>
      </w:r>
      <w:r>
        <w:rPr>
          <w:rFonts w:ascii="Times New Roman" w:hAnsi="Times New Roman"/>
          <w:sz w:val="28"/>
          <w:szCs w:val="28"/>
          <w:highlight w:val="white"/>
        </w:rPr>
        <w:t xml:space="preserve">ародных олимпиадах по общеобразовательным предметам и сформированных в порядке, установленном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</w:t>
      </w:r>
      <w:r>
        <w:rPr>
          <w:rFonts w:ascii="Times New Roman" w:hAnsi="Times New Roman"/>
          <w:sz w:val="28"/>
          <w:szCs w:val="28"/>
          <w:highlight w:val="white"/>
        </w:rPr>
        <w:t xml:space="preserve">общего</w:t>
      </w:r>
      <w:r>
        <w:rPr>
          <w:rFonts w:ascii="Times New Roman" w:hAnsi="Times New Roman"/>
          <w:sz w:val="28"/>
          <w:szCs w:val="28"/>
          <w:highlight w:val="white"/>
        </w:rPr>
        <w:t xml:space="preserve"> образования, по</w:t>
      </w:r>
      <w:r>
        <w:rPr>
          <w:rFonts w:ascii="Times New Roman" w:hAnsi="Times New Roman"/>
          <w:sz w:val="28"/>
          <w:szCs w:val="28"/>
          <w:highlight w:val="white"/>
        </w:rPr>
        <w:t xml:space="preserve"> направлениям подготовки, соответствующим профилю всероссийской олимпиады школьник</w:t>
      </w:r>
      <w:r>
        <w:rPr>
          <w:rFonts w:ascii="Times New Roman" w:hAnsi="Times New Roman"/>
          <w:sz w:val="28"/>
          <w:szCs w:val="28"/>
          <w:highlight w:val="white"/>
        </w:rPr>
        <w:t xml:space="preserve">ов или международной олимпиады,</w:t>
      </w:r>
      <w:r>
        <w:rPr>
          <w:rFonts w:ascii="Times New Roman" w:hAnsi="Times New Roman"/>
          <w:sz w:val="28"/>
          <w:szCs w:val="28"/>
          <w:highlight w:val="white"/>
        </w:rPr>
        <w:t xml:space="preserve"> в течение </w:t>
      </w:r>
      <w:r>
        <w:rPr>
          <w:rFonts w:ascii="Times New Roman" w:hAnsi="Times New Roman"/>
          <w:sz w:val="28"/>
          <w:szCs w:val="28"/>
          <w:highlight w:val="white"/>
        </w:rPr>
        <w:t xml:space="preserve">четырех</w:t>
      </w:r>
      <w:r>
        <w:rPr>
          <w:rFonts w:ascii="Times New Roman" w:hAnsi="Times New Roman"/>
          <w:sz w:val="28"/>
          <w:szCs w:val="28"/>
          <w:highlight w:val="white"/>
        </w:rPr>
        <w:t xml:space="preserve"> лет, следующих за годом проведения соответствующей олимпиады</w:t>
      </w:r>
      <w:r>
        <w:rPr>
          <w:rFonts w:ascii="Times New Roman" w:hAnsi="Times New Roman"/>
          <w:sz w:val="28"/>
          <w:szCs w:val="28"/>
          <w:highlight w:val="white"/>
        </w:rPr>
        <w:t xml:space="preserve">. Соответствие профиля указанных олимпиад направлениям подготовки определяется образовательной организацией</w:t>
      </w:r>
      <w:r>
        <w:rPr>
          <w:rFonts w:ascii="Times New Roman" w:hAnsi="Times New Roman"/>
          <w:sz w:val="28"/>
          <w:szCs w:val="28"/>
          <w:highlight w:val="white"/>
        </w:rPr>
        <w:t xml:space="preserve">;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left="0" w:right="0"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2</w:t>
      </w:r>
      <w:r>
        <w:rPr>
          <w:rFonts w:ascii="Times New Roman" w:hAnsi="Times New Roman"/>
          <w:sz w:val="28"/>
          <w:szCs w:val="28"/>
          <w:highlight w:val="white"/>
        </w:rPr>
        <w:t xml:space="preserve">)</w:t>
      </w:r>
      <w:r>
        <w:rPr>
          <w:rFonts w:ascii="Times New Roman" w:hAnsi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/>
          <w:sz w:val="28"/>
          <w:szCs w:val="28"/>
          <w:highlight w:val="white"/>
        </w:rPr>
        <w:t xml:space="preserve">чемпионы и призеры О</w:t>
      </w:r>
      <w:r>
        <w:rPr>
          <w:rFonts w:ascii="Times New Roman" w:hAnsi="Times New Roman"/>
          <w:sz w:val="28"/>
          <w:szCs w:val="28"/>
          <w:highlight w:val="white"/>
        </w:rPr>
        <w:t xml:space="preserve">лимпийских игр, Паралимпийских игр и Сурдлимпийских игр, чемпионы мира, чемпионы Европы, лица, занявшие первое место на первенстве мира, первенстве Европы по видам спорта, включенным в программы Олимпийских игр, Паралимпийских игр и Сурдлимпийских игр, </w:t>
      </w:r>
      <w:r>
        <w:rPr>
          <w:rFonts w:ascii="Times New Roman" w:hAnsi="Times New Roman"/>
          <w:sz w:val="28"/>
          <w:szCs w:val="28"/>
          <w:highlight w:val="white"/>
        </w:rPr>
        <w:t xml:space="preserve">а также на иных официальных международных спортивных соревнованиях, перечень которых утверждается Правительством Российской Федерации, по направлениям подготовки в области физической культуры и спорта</w:t>
      </w:r>
      <w:r>
        <w:rPr>
          <w:rFonts w:ascii="Times New Roman" w:hAnsi="Times New Roman"/>
          <w:sz w:val="28"/>
          <w:szCs w:val="28"/>
          <w:highlight w:val="white"/>
        </w:rPr>
        <w:t xml:space="preserve">. 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left="0" w:righ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1.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6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.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Право на прием на обучение по программам бакалавриата за счет бюджетных ассигнований бюджета Республики Татарстан в пределах установленной квоты имеют: 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pStyle w:val="881"/>
        <w:numPr>
          <w:ilvl w:val="0"/>
          <w:numId w:val="6"/>
        </w:numPr>
        <w:ind w:left="0" w:righ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дети-сироты и дети, оставшиеся без попечения родителей, а также лица из числа детей-сирот и детей, оставшихся без попечения родителей;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pStyle w:val="881"/>
        <w:numPr>
          <w:ilvl w:val="0"/>
          <w:numId w:val="6"/>
        </w:numPr>
        <w:ind w:left="0" w:righ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дети-инвалиды, инвалиды </w:t>
      </w:r>
      <w:r>
        <w:rPr>
          <w:rFonts w:ascii="Times New Roman" w:hAnsi="Times New Roman" w:eastAsia="Times New Roman"/>
          <w:sz w:val="28"/>
          <w:szCs w:val="28"/>
          <w:highlight w:val="white"/>
          <w:lang w:val="en-US" w:eastAsia="ru-RU"/>
        </w:rPr>
        <w:t xml:space="preserve">I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и </w:t>
      </w:r>
      <w:r>
        <w:rPr>
          <w:rFonts w:ascii="Times New Roman" w:hAnsi="Times New Roman" w:eastAsia="Times New Roman"/>
          <w:sz w:val="28"/>
          <w:szCs w:val="28"/>
          <w:highlight w:val="white"/>
          <w:lang w:val="en-US" w:eastAsia="ru-RU"/>
        </w:rPr>
        <w:t xml:space="preserve">II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групп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pStyle w:val="881"/>
        <w:numPr>
          <w:ilvl w:val="0"/>
          <w:numId w:val="6"/>
        </w:numPr>
        <w:ind w:left="0" w:righ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инвалиды с детства, инвалиды вследствие военной травмы или заболевания, полу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ченных в пер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иод прохождения военной службы; 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pStyle w:val="881"/>
        <w:numPr>
          <w:ilvl w:val="0"/>
          <w:numId w:val="6"/>
        </w:numPr>
        <w:ind w:left="0" w:righ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ветераны боевых действий из числа лиц, указанных в подпунктах 1 - 4 пункта 1 статьи 3 Федерального закона от 12 января 1995 года № 5-ФЗ «О ветеранах»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left="0" w:righ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</w:rPr>
        <w:t xml:space="preserve">1.7.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Право на прием на обучение по программам бакалавриата за счет бюджетных ассигнований бюджета Республики Татарстан в пределах </w:t>
      </w:r>
      <w:r>
        <w:rPr>
          <w:rFonts w:ascii="Times New Roman" w:hAnsi="Times New Roman" w:eastAsia="Times New Roman" w:cs="Times New Roman"/>
          <w:color w:val="000000"/>
          <w:sz w:val="30"/>
          <w:highlight w:val="white"/>
        </w:rPr>
        <w:t xml:space="preserve">отдельной квоты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имеют: </w:t>
      </w:r>
      <w:r>
        <w:rPr>
          <w:rFonts w:ascii="Times New Roman" w:hAnsi="Times New Roman" w:eastAsia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left="0" w:righ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</w:rPr>
        <w:t xml:space="preserve">1) Герои Российской Федерации, лица, награжденные тремя орденами Мужества;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left="0" w:right="0" w:firstLine="709"/>
        <w:jc w:val="both"/>
        <w:spacing w:after="0" w:line="240" w:lineRule="auto"/>
        <w:tabs>
          <w:tab w:val="left" w:pos="1134" w:leader="none"/>
        </w:tabs>
      </w:pPr>
      <w:r>
        <w:rPr>
          <w:rFonts w:ascii="Times New Roman" w:hAnsi="Times New Roman" w:eastAsia="Times New Roman"/>
          <w:sz w:val="28"/>
          <w:szCs w:val="28"/>
          <w:highlight w:val="white"/>
        </w:rPr>
        <w:t xml:space="preserve">2) гра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ждане, проходящие (проходившие) военную службу в Вооруженных Силах Российской Федерации, граждане, проходящие (проходившие) военную службу (службу) в войсках национальной гвардии Российской Федерации, в воинских формированиях и органах, указанных в пу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н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кте 6 статьи 1 Федерального закона от 31 мая 1996 года № 61-ФЗ «Об обороне», при условии их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и (или) выполнения ими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н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находящиеся (находившиеся) на указанных территориях служащие (работники) правоохраните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льных органов Российской Федерации, граждане, выполняющие (выполнявшие) служебные и иные аналогичные функции на указанных территориях;</w:t>
      </w:r>
      <w:r>
        <w:rPr>
          <w:rFonts w:ascii="Times New Roman" w:hAnsi="Times New Roman" w:eastAsia="Times New Roman"/>
          <w:sz w:val="28"/>
          <w:szCs w:val="28"/>
          <w:highlight w:val="none"/>
        </w:rPr>
      </w:r>
      <w:r/>
    </w:p>
    <w:p>
      <w:pPr>
        <w:ind w:firstLine="709"/>
        <w:jc w:val="both"/>
        <w:spacing w:after="0" w:line="240" w:lineRule="auto"/>
        <w:tabs>
          <w:tab w:val="left" w:pos="1134" w:leader="none"/>
        </w:tabs>
      </w:pP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3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) граждане, призванные на военную службу по мобилизации в Вооруженные Силы Российской Федерации, граждане, заключившие контракт о добровольном содействии в выполнении задач, возложенных на Вооруженные Силы Российской Федерации или войска национальной гвард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и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и Российской Федерации, при условии их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выполнения ими задач по отражению вооруженно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г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о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риях Украины, Донецкой Народной Республики, Луганской Народной Республики, Запорожской области и Херсонской области, граждане, заключившие контракт (имевшие иные правоотношения) с организацией, содействующей выполнению задач, возложенных на Вооруженные Сил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ы Российской Федерации, при условии их участия в специальной военной операции на указанных территориях;</w:t>
      </w:r>
      <w:r>
        <w:rPr>
          <w:rFonts w:ascii="Times New Roman" w:hAnsi="Times New Roman" w:eastAsia="Times New Roman"/>
          <w:sz w:val="28"/>
          <w:szCs w:val="28"/>
          <w:highlight w:val="none"/>
        </w:rPr>
      </w:r>
      <w:r/>
    </w:p>
    <w:p>
      <w:pPr>
        <w:ind w:firstLine="709"/>
        <w:jc w:val="both"/>
        <w:spacing w:after="0" w:line="240" w:lineRule="auto"/>
        <w:tabs>
          <w:tab w:val="left" w:pos="1134" w:leader="none"/>
        </w:tabs>
      </w:pP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4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) лица, принимавшие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 Республики, воинских формирований и органов Донецкой Народной Республики и Луганской Народной Республики начиная с 11 мая 2014 года;</w:t>
      </w:r>
      <w:r>
        <w:rPr>
          <w:rFonts w:ascii="Times New Roman" w:hAnsi="Times New Roman" w:eastAsia="Times New Roman"/>
          <w:sz w:val="28"/>
          <w:szCs w:val="28"/>
          <w:highlight w:val="none"/>
        </w:rPr>
      </w:r>
      <w:r/>
    </w:p>
    <w:p>
      <w:pPr>
        <w:ind w:firstLine="709"/>
        <w:jc w:val="both"/>
        <w:spacing w:after="0" w:line="240" w:lineRule="auto"/>
        <w:tabs>
          <w:tab w:val="left" w:pos="1134" w:leader="none"/>
        </w:tabs>
      </w:pP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5) дети лиц, указанных в подпунктах 2 - 4 настоящего пункта;</w:t>
      </w:r>
      <w:r>
        <w:rPr>
          <w:rFonts w:ascii="Times New Roman" w:hAnsi="Times New Roman" w:eastAsia="Times New Roman"/>
          <w:sz w:val="28"/>
          <w:szCs w:val="28"/>
          <w:highlight w:val="none"/>
        </w:rPr>
      </w:r>
      <w:r/>
    </w:p>
    <w:p>
      <w:pPr>
        <w:ind w:firstLine="709"/>
        <w:jc w:val="both"/>
        <w:spacing w:after="0" w:line="240" w:lineRule="auto"/>
        <w:tabs>
          <w:tab w:val="left" w:pos="1134" w:leader="none"/>
        </w:tabs>
      </w:pP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6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) дети военнослужащих, сотрудников федеральных органов исполнительной власти и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сотрудников уголовно-ис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полнительной системы Российской Федерации, направленных в другие государства органами государственной власти Российской Федерации и принимавших участие в боевых действиях при исполнении служебных обязанностей в этих государствах;</w:t>
      </w:r>
      <w:r>
        <w:rPr>
          <w:rFonts w:ascii="Times New Roman" w:hAnsi="Times New Roman" w:eastAsia="Times New Roman"/>
          <w:sz w:val="28"/>
          <w:szCs w:val="28"/>
          <w:highlight w:val="none"/>
        </w:rPr>
      </w:r>
      <w:r/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highlight w:val="yellow"/>
        </w:rPr>
      </w:pP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7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) дети медицинских работников, умерших в результате инфицирования новой коронавирусной инфекцией (COVID-19) при исполнении ими трудовых обязанностей, по основным профессиональным образовательным программам медицинского образования и фармацевтического образ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ования.</w:t>
      </w:r>
      <w:r>
        <w:rPr>
          <w:rFonts w:ascii="Times New Roman" w:hAnsi="Times New Roman" w:eastAsia="Times New Roman"/>
          <w:sz w:val="28"/>
          <w:szCs w:val="28"/>
          <w:highlight w:val="yellow"/>
        </w:rPr>
      </w:r>
      <w:r>
        <w:rPr>
          <w:rFonts w:ascii="Times New Roman" w:hAnsi="Times New Roman" w:eastAsia="Times New Roman"/>
          <w:sz w:val="28"/>
          <w:szCs w:val="28"/>
          <w:highlight w:val="yellow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8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Квота приема для получения высшего образования по программам бакалавриата за счет бюджетных ассигнований бюджета Республики Татарстан устанавливается ежегодно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образовательной организацией в размере не менее чем десять процентов общего объема контрольных цифр приема лиц, обучающихся за счет бюджетных ассигнований бюджета Республики Татарстан, выделенных такой образовательной организации на очередной год, по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направлениям подготовки высшего образования.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1.9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Преимущественное право зачисления в образовательную организацию на обучение по программам бакалавриата при условии успешного прохождения вступительных испытаний и при прочих равных условиях имеют: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1)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дети-сироты и дети, оставшиеся без попечения родителей, а также лица из числа детей-сирот и детей, оставшихся без попечения родителей;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2)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дети-инвалиды, инвалиды I и II групп;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3)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граждан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в возрасте до двадцати лет, имеющи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только одного родителя - инвалида I группы, если среднедушевой доход семьи ниже величины прожиточного минимума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установленного в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Республике Татарстан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 месту жительства указанных граждан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4)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граждан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которые подверглись воздействию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радиации вследствие катастрофы на Чернобыльской АЭС и на которых распространяется действие Закона Российской Федерации от 15 мая 1991 года № 1244-1 «О социальной защите граждан, подвергшихся воздействию радиации вследствие катастрофы на Чернобыльской АЭС»;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5) 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военнослужащих, погибших при исполнении ими обязанностей военной слу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жбы или умерших вследствие увечья (ранения, травмы, контузии) либо заболеваний, полученных ими при исполнении обязанностей военной службы, в том числе при участии в проведении контртеррористических операций и (или) иных мероприятий по борьбе с терроризмом;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6)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умерших (погибших) Героев Советского Союза, Героев Российской Федерации и полных кавалеров ордена Славы;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7)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сотрудников органов внутренних дел, Федеральной службы войск национальной гвардии Российской Федерации, учреждений и органов</w:t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уголовно-исполнительной системы,</w:t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органов принудительного исполнения Российской Федерации,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федеральной противопожарной службы</w:t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Государственной противопожарной службы, органов по контролю за оборотом наркотических средств и психотропных веществ,</w:t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таможенных органов, Следственного комитета Российской Федерации, погибших (умерших)</w:t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вследствие увечья или иного повреждения здоровья, полученных ими в связи с выполнением служебных обязанностей, либо вследствие заболевания, полученного ими в период прохождения службы в указанных учреждениях и органах, и дет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находивши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ся на их иждивении;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8)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прокурорских работников, погибши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х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(умерши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х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) вследствие увечья или иного повреждения здоровья, полученных ими в период прохождения службы в органах прокуратуры либо после увольнения вследствие причинения вреда здоровью в связи с их служебной деятельностью;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9)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военнослужащи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кот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орые проходят военную службу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 контракту,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и непрерывная продолжительность военной службы по контракту которых составляет не менее трех лет, а также граждан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прошедши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военную службу по призыву и поступающи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на обучение по рекомендациям командиров, выдаваемым гражданам в порядке, установленном федеральным органом исполнительной власти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и федеральным государственным органом, в которых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федеральным законом предусмотрена военная служба;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10)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граждан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проходивши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в течение не менее трех лет военную службу по контракту в Вооруженных Силах Российской Федерации, других войсках, воинских формированиях и органах на воинских должностях и уволенны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с военной службы по основаниям, предусмотренным подпунктами «б» – «г» пункта 1, подпунктом «а» пункта 2 и подпунктами «а» – «в» пункта 3 статьи 51 Федерального закона от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28 марта 1998 года № 53-ФЗ «О воинской обязанности и военной службе»;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11)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инвалид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войны, участник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боевых действий, а также ветеран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боевых действий из числа лиц, указанных в подпунктах 1 – 4 пункта 1 статьи 3 Федерального закона от 12 января 1995 года № 5-ФЗ «О ветеранах»;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12)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граждан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непосредственно принимавши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участие в испытаниях ядерного оружия, боевых радиоактивных веществ в атмосфере, ядерного оружия под землей, в учениях с применением таких</w:t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видов оружия и боевых радиоактивных веществ до даты фактического прекращения указанных испытаний и учений,</w:t>
      </w:r>
      <w:r>
        <w:rPr>
          <w:rFonts w:ascii="Times New Roman" w:hAnsi="Times New Roman" w:eastAsia="Times New Roman"/>
          <w:b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непосредственны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участник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ликвидации радиационных аварий на ядерных установках надводных и подводных кораблей и других военных объектах,</w:t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непосредственны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участник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проведения и обеспечения работ по сбору и захоронению радиоактивных веществ, 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также непосредственны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участник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ликвидации последствий этих аварий (военнослужащи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и лица из числа вольнонаемного состава Вооруженных Сил Российской Федерации, военнослужащи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внутренних войск Министерства внутренних дел Российской Федерации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или федеральных государственных органов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</w:t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военнослужащи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и сотрудник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Федеральной службы войск национальной гвардии Российской Федерации, лица,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проходивши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службу в железнодорожных войсках и других воинских формированиях, сотрудник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органов внутренних дел Российской Федерации и федеральной противопожарной службы Государственной противопожарной службы);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13)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военнослужащи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сотрудник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Федеральной службы войск национальной гвардии Российской Федерации, органов внутренних дел Российской Федерации, уголовно-исполнительной системы, федеральной противопожарной службы Государственной противопожарной службы, выполнявши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задачи в условиях вооруженного конфликта в Чеченской Республике и на прилегающих к ней территориях, отнесенных к зоне вооруженного конфликта, и указанны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военно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служащи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выполняющи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задачи в ходе контртеррористических операций на территории Северо-Кавказского региона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14) лица, указанные в пункте 1.7 настоящего Стандарта.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1.10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Победи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телям и призерам олимпиад школьников, проводимых в порядке, установленном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высшего образования,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по согласованию с федера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общего образования, в течение четырех лет, следующих за годом проведения соответствующей олимпиады,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предоставляются следующие особые права при приеме в образовательные организации на обучение по программам бакалавриата по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направлениям подготовки, соответствующим профилю олимпиады школьников, в порядке, установленном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высшего образования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1)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прием без вступительных испытаний на обучение по программам бакалавриата по</w:t>
      </w:r>
      <w: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направлениям подготовки, соответствующим профилю оли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мпиады школьников. </w:t>
      </w:r>
      <w:r>
        <w:rPr>
          <w:rFonts w:ascii="Times New Roman" w:hAnsi="Times New Roman"/>
          <w:sz w:val="28"/>
          <w:szCs w:val="28"/>
        </w:rPr>
        <w:t xml:space="preserve">Соответствие профиля указанных олимпиад направлениям подготовки определяется образовательной организацией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2) быть приравненными к лицам, набравшим максимальное количество баллов единого государственного экзамена по общеобразовательному предмету,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соответствующему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профилю олимпиады школьников, или к лицам, успешно прошедшим дополнительные вступительные испытания профильной, творческой и (или) профессиональной направленности, предусмотренные частями 7 и 8 статьи 70 Федерального закона.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7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II</w:t>
      </w:r>
      <w:r>
        <w:rPr>
          <w:rFonts w:ascii="Times New Roman" w:hAnsi="Times New Roman" w:cs="Times New Roman"/>
          <w:b/>
          <w:sz w:val="28"/>
          <w:szCs w:val="28"/>
        </w:rPr>
        <w:t xml:space="preserve">. Правовые основания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предоставления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государственной услуги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7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Государственная услуга предоставляется в соответствии со следующими законодательными и иными нормативными правовыми актами: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/>
      <w:hyperlink r:id="rId12" w:tooltip="consultantplus://offline/ref=DEE7102FDBEFEF8DD62882B517E893604B51F79CB393FEA70D6A5FTAKBF" w:history="1">
        <w:r>
          <w:rPr>
            <w:rFonts w:ascii="Times New Roman" w:hAnsi="Times New Roman"/>
            <w:sz w:val="28"/>
            <w:szCs w:val="28"/>
          </w:rPr>
          <w:t xml:space="preserve">Конституция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Федеральный конституционный закон от 21 марта 2014 года № 6-ФКЗ «О принятии в Российскую Федерацию Республики Крым и образовании в составе Российской Федерации новых субъектов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Республики Крым и города федерального значения Севастополя»;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Трудовой кодекс Российской Федерации;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Закон Российской Федерации от 15 мая 1991 года № 1244-1 «О социальной защите граждан, подвергшихся воздействию радиации вследствие катастрофы на Чернобыльской АЭС»;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Закон Российской Федерации от 7 февраля 1992 года № 2300-1 «О защите прав потребителей»;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Федеральный закон от 12 января 1995 года № 5-ФЗ «О ветеранах»;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Федеральный закон от 28 марта 1998 года № 53-ФЗ «О воинской обязанности и военной службе»;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Федеральный закон от 24 июля 1998 года № 124-ФЗ «Об основных гарантиях прав ребенка в Российской Федерации»;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Федеральный закон от 2 мая 2006 года № 59-ФЗ «О порядке рассмотрения об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ращений граждан Российской Федерации»;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Федеральный закон от 22 июля 2008 года № 123-ФЗ «Технический регламент о требованиях пожарной безопасности»;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Федеральный закон от 5 мая 2014 года № 84-ФЗ «Об особенностях правового регулирования отношений в сфере образования в связи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с принятием в Российскую Федерацию Республики Крым и образованием в составе Российской Федерации новых субъектов – Республики Крым и города федерального значения Севастополя и о внесении изменений в Федеральный закон «Об образовании в Российской Федерации»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(далее – Федеральный закон № 84-ФЗ)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постановление Правительства Российской Федерации от 18 сентября 2020 г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      № 1490 «О лицензировании образовательной деятельности»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постановление Правительства Российской Федерации от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20 октября 2021 г.            № 1802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«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б утверждении 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организации, а также о признании утратившими силу некоторых актов и отдельных п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оложений некоторых актов Правительства Российской Федерации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постановление Правительства Российской Федерации от 19 мая 2023 г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.               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№ 797 «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Об утверждении Положения о государственной аккредитации образовательной деятельности и о признании утратившим силу постановления Правительства Российской Федерации от 14 января 2022 г. № 3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постановление Главного государственного санитарного врача Российской Федерации от 28 сентября 2020 г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№ 28 «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Об утверждении санитарных правил СП 2.4.3648-20 «Санитарно-эпидемиологические требования к организациям вос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питания и обучения, отдыха и оздоровления детей и молодежи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»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приказ Министерства образования и науки Российской Федерации от 12 сен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-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тября 2013 г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№ 1061 «Об утверждении перечней специальностей и направлений подготовки высшего образования»;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приказ Министерства образования и науки Российской Федерации                          от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17 января 2014 г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№ 21 «Об утверждении перечня специальностей и (или) направлений подготовки, по которым при приеме на обучение за счет бюджетных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ассигнований федерального бюджета, бюджетов субъектов Российской Федерации и местных бюджетов по программам бакалавриата и программам специалитета могут проводиться дополнительные вступительные испытания творческой и (или) профессиональной направленности»;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приказ Министерства образования и науки Российской Федерации от 29 июня 2015 г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№ 636 «Об утверждении Порядка проведения государственной итоговой аттестации по образовательным программам высшего образования – программам бакалавриата, программам специалитета и программам магистратуры»;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приказ Министерства науки и высшего образования Российской Федерации  от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27 ноября 2024 года № 821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«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Об утверждении Порядка приема на обучение по образовательным программам высшего образования - программам бакалавриата, программам специалитета, программам магистратуры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»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; 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приказ Министерства образования и науки Российской Федерации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br/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от 22 июля 2021 г. № 645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«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Об утверждении образцов и описания документов о высшем образовании и о квалификации и приложений к ним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»; 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приказ Министерства науки и высшего образования Российской Федерации 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от 6 апреля 2021 года № 245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«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»; 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федеральные государственные образовательные стандарты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высшего образования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по направлениям подготовки бакалавриата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Конституция Республики Татарстан;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Закон Республики Т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атарстан от 22 июля 2013 года №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68-ЗРТ «Об образовании»;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постановление Кабинета Министров Республики Татарстан от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30.06.2009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№ 445 «О стандартах качества государственных услуг, оказываемых государственными учреждениями Республики Татарстан»;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постановление Кабинета Министров Республики Татарстан от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30.06.2009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№ 446 «О Порядке проведения оценки соответствия качества фактически предоставляемых государственных услуг установленным стандартам качества государственных услуг Республики Татарстан»;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устав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образовательной организации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локальные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нормативные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акты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образовательной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организации,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содержащие нормы, регулирующие образовательные отношения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иные нормативные правовые акты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/>
      <w:bookmarkStart w:id="1" w:name="sub_103"/>
      <w:r>
        <w:rPr>
          <w:rFonts w:ascii="Times New Roman" w:hAnsi="Times New Roman" w:eastAsia="Times New Roman"/>
          <w:b/>
          <w:bCs/>
          <w:color w:val="26282f"/>
          <w:sz w:val="28"/>
          <w:szCs w:val="28"/>
          <w:lang w:eastAsia="ru-RU"/>
        </w:rPr>
        <w:t xml:space="preserve">III.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Исчерпывающий перечень документов, необходимых для получения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государственной услуги</w:t>
      </w:r>
      <w:bookmarkEnd w:id="1"/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2" w:name="sub_103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3.1. При подаче заявления (на русском языке) 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приеме в образовательную организацию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поступающий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предъявляет следующие документы:</w:t>
      </w:r>
      <w:bookmarkEnd w:id="2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tbl>
      <w:tblPr>
        <w:tblW w:w="10206" w:type="dxa"/>
        <w:tblInd w:w="108" w:type="dxa"/>
        <w:tblBorders>
          <w:top w:val="single" w:color="auto" w:sz="4" w:space="0"/>
          <w:left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90"/>
        <w:gridCol w:w="4230"/>
        <w:gridCol w:w="3260"/>
        <w:gridCol w:w="2126"/>
      </w:tblGrid>
      <w:tr>
        <w:tblPrEx/>
        <w:trPr/>
        <w:tc>
          <w:tcPr>
            <w:tcW w:w="590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W w:w="423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Перечень документов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Организация, осуществляющая выдачу документа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Срок действия документа со дня его выдачи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</w:tbl>
    <w:p>
      <w:pPr>
        <w:spacing w:after="0" w:line="240" w:lineRule="auto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022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91"/>
        <w:gridCol w:w="11"/>
        <w:gridCol w:w="4247"/>
        <w:gridCol w:w="3260"/>
        <w:gridCol w:w="2100"/>
        <w:gridCol w:w="18"/>
      </w:tblGrid>
      <w:tr>
        <w:tblPrEx/>
        <w:trPr>
          <w:gridAfter w:val="1"/>
          <w:tblHeader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auto" w:sz="4" w:space="0"/>
              <w:bottom w:val="single" w:color="auto" w:sz="4" w:space="0"/>
            </w:tcBorders>
            <w:tcW w:w="102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Для граждан Российской Федерации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Заявление (на русском языке) о приеме в образовательную организацию 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образовательная организация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jc w:val="left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бессрочно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3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47" w:type="dxa"/>
            <w:textDirection w:val="lrTb"/>
            <w:noWrap w:val="false"/>
          </w:tcPr>
          <w:p>
            <w:pPr>
              <w:jc w:val="both"/>
              <w:spacing w:after="0" w:line="23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Документ, удостоверяющий лич-ность, гражданство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jc w:val="both"/>
              <w:spacing w:after="0" w:line="23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территориальные орга-ны Министерства внут-ренних дел Российской Федерации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0" w:type="dxa"/>
            <w:textDirection w:val="lrTb"/>
            <w:noWrap w:val="false"/>
          </w:tcPr>
          <w:p>
            <w:pPr>
              <w:jc w:val="both"/>
              <w:spacing w:after="0" w:line="23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в соответствии с законодатель-ством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23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gridAfter w:val="1"/>
          <w:trHeight w:val="1628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3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47" w:type="dxa"/>
            <w:textDirection w:val="lrTb"/>
            <w:noWrap w:val="false"/>
          </w:tcPr>
          <w:p>
            <w:pPr>
              <w:jc w:val="both"/>
              <w:spacing w:after="0" w:line="23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Документ об образовании образца, устанавливаемого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общего образования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jc w:val="both"/>
              <w:spacing w:after="0" w:line="23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общеобразовательная организация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0" w:type="dxa"/>
            <w:textDirection w:val="lrTb"/>
            <w:noWrap w:val="false"/>
          </w:tcPr>
          <w:p>
            <w:pPr>
              <w:jc w:val="both"/>
              <w:spacing w:after="0" w:line="23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бессрочно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4.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4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Для сдачи внутренних общеобразовательных вступительных испытаний в связи с инвалидностью - документ, подтверждающий инвалидность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учреждения медико-социальной экспертизы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в соответствии с законодатель-ством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5.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4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При необходимости создания специальных условий при прове-дении вступительных испыта-ний – документ, подтверждающий ограниченные возможности здоровья или инвалидность, требующие создания указанных условий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учреждения медико-социальной экспертизы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в соответствии с законодатель-ством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6.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47" w:type="dxa"/>
            <w:textDirection w:val="lrTb"/>
            <w:noWrap w:val="false"/>
          </w:tcPr>
          <w:p>
            <w:pPr>
              <w:pStyle w:val="7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Для использования особых прав (право на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прием без вступительных испытаний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, право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быть приравненными к лицам, набравшим максимальное количество баллов единого государственного экзамена по общеобразовательному предмету, соответствующему профилю олимпиады школьников, или к лицам, успешно прошедшим дополнительные вступительные испытания про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фильной, творческой и (или) профессиональной направленности)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 - документ, подтверждающий, что поступающий относится к лицам, которым предоставляется соответствующ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ее особое право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федеральный орган ис-полнительной власти, осуществляющий функ-ции по выработке госу-дарственной политики и нормативно-правовому регулированию в сфере образования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в течение четы-рех лет, следующих за годом проведения соответствующей олимпиады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gridAfter w:val="1"/>
          <w:trHeight w:val="2758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4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Для использования особых прав (право на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прием в пределах установленной или отдельной квоты,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преимущественное право зачисления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- документ, подтверждающий, что поступающий относится к лицам, которым предоставляется со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ответствующее особое право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учреждения медико-социальной экспертизы; отделы опеки и попечительства исполнительных комитетов муниципальных образований по месту регистрации; территориальные органы, осуществляющие регистрацию актов гражданского состояния по Республике Татарстан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военные комиссариаты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территориальные органы Министерства внутренних дел Российской Федерации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в соответствии с законодатель-ством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4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Согласие на обработку персо-нальных данных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образовательная организация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в соответствии с законодатель-ством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cyan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9.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4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Заявление о согласии на зачисление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при поступлении на обучение на места в рамках контрольных цифр приема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jc w:val="left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образовательная организация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jc w:val="left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бессрочно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auto" w:sz="4" w:space="0"/>
              <w:bottom w:val="single" w:color="auto" w:sz="4" w:space="0"/>
            </w:tcBorders>
            <w:tcW w:w="102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Для иностранных граждан, лиц без гражданства, в том числе соотечественников, проживающих за рубежом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10.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4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Заявление (на русском языке) о приеме в образовательную организацию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jc w:val="left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образовательная организация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бессрочно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11.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424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Документ, удостоверяющий лич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-ность, гражданство иностран-ного гражданина или лица без гражданства (оригинал или нотариально заверенная копия)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уполномоченный орган иностранного государ-ства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10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бессрочно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12.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4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Документ иностранного госу-дарства 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б образовании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(оригинал или нотариально заверенная копия)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выдается иностранным государством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бессрочно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</w:tbl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/>
      <w:bookmarkStart w:id="3" w:name="sub_104"/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IV. Требования к порядку и условиям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предоставления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 государственной услуги</w:t>
      </w:r>
      <w:bookmarkEnd w:id="3"/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4" w:name="sub_104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4.1. Государственная услуга предоставляется в целях:</w:t>
      </w:r>
      <w:bookmarkEnd w:id="4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удовлетворения потребностей личности в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интеллектуальном, культурном и нравственном развитии посредством получения высшего образования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удовлетворения потребностей общества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 государства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квалифицированных специалистах с высшим образованием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33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формирования у получателей государственной услуги гражданской позиции и трудолюбия, развития ответственности, самостоятельности и творческой активности;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33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накопления, сохранения и приумножения нравственных, культурных и научных ценностей общества;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33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распространения знаний среди населения, повышения его образовательного и культурного уровня.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33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5" w:name="sub_1042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4.2. Государственная услуга предоставляется в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образовательных организациях</w:t>
      </w:r>
      <w:bookmarkEnd w:id="5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33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6" w:name="sub_1043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4.3. Предоставление государственной услуги в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образовательных организациях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осуществляется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соответствии с перечнем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направлений подготовки, утверждаемым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высшего образования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bookmarkEnd w:id="6"/>
      <w: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33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4.4.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Порядок приема в образовательные организации устанавливается феде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ральным органом исполнительной власти, осуществляющим функции по вырабо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тке и реализации государственной политики и нормативно-правовому регулированию в сфере высшего образования. 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33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4.5. Образ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овательная организация самостоятельно разрабатывает и утверждает ежегодные правила приема, определяющие их особенности на соответствующий год, не противоречащие законодательству Российской Федерации, порядку приема, устанавливаемому федеральным органом исп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олнительной власти, осуществляющим функции по выработке и реализации государственной политики и нормативно-правовому регулированию в сфере высшего образования, и правилам приема, определяемым учредителем и закрепленным в уставе образовательной организации.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33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4.6.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Прием граждан в образовательные организации осущест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вл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яется на конкурсной основе по заявлениям данных граждан. Условиями конкурса поступающим должны быть гарантированы соблюдение прав на образование и зачисление наиболее способных и подготовленных к освоению образовательной программы соответствующего уровня. 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33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4.7. К освоению программ бакалавриата допускаются граждане, имеющие среднее общее образование, подтвержденное документом о среднем общем образовании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имеющие среднее профессиональное образование, подтвержденное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документом о среднем профессиональном образовании, или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имеющие высшее образование, подтвержденное документом о высшем образовании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Прием на обучение по программам бакалавриата (за исключением приема лиц, имеющих право на прием на обучение без вступительных испытаний) проводится: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 базе среднего общего образования – на основании оцениваемых по стобалльной шкале результатов единого государственного экзамена, которые признаются в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качестве результатов вступительных испытаний, и (или) по результатам вступительных испытаний, проводимых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образовательной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организацией самостоятельно;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 базе среднего профессионального или высшего образования – по результатам вступительных испытаний, форма и перечень которых определяются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локальным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нормативным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актом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образовательной организаци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При приеме в имеющие государственную аккредитацию образовательные организации для обучения по программам бакалавриата по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направлениям подготовки, требующим наличия у поступающих определенных творческих способностей, физических и (или) психологических качеств, указанные образовательные организации вправе проводить по предметам, по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которым не проводится единый государственный экзамен, дополнительные вступительные испытания творческой и (или) профессиональной направленности, результаты которых учитываются наряду с результатами единого государственного экзамена при проведении конкурса.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8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Перечень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направлений подготовки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по образовательным программам высшего образования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по которым при пр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иеме для обучения по программам бакалавриата могут проводиться дополнительные испытания творческой и (или) профессиональной направленности, утверждается в порядке, определяемом федеральным органом исполнительной власти, осуществляющим функции по выработке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 реализации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государственной политики и нормативно-правовому регулированию в сфере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высшего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образования.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Для граждан,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имеющих среднее профессиональное образование и (или) высшее образование соответствующего профиля, а также по решению ученого совета образовательной организации допускается получение высшего образования по сокращенным или ускоренным программам бакалавриата.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10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рограмма бакалавриата может осваиваться в различных формах с учетом потребносте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й, возможностей личности и в зависимости от объема обязательных занятий педагогического работника образовательной организации: очной, очно-заочной, заочной формах. Допускается сочетание различных форм получения высшего образования. Перечень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аправлений подготовки, по которым получение высшего образования по программам бакалавриата в очно-заочной, заочной формах обучения не допускается, устанавливается уполномоченным Правительством Российской Федерации федеральным органом исполнительной власти.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Организация образовательного процесса в образовательной организации осуществляется в соответствии с образовательными программами и расписа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нием учебных занятий для каждого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направления подготовки и формы получения образования.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бразовательная программа высшего образования обеспечивает реализацию федерального государственного образовательного стандарта с учетом вида образовательной организации, образо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вательных потребностей и запросов граждан и включает в себя учебный план, рабочие программы учебных курсов, предметов, дисциплин (модулей) и другие материалы, обеспечивающие качество подготовки обучающихся, а также программы учебной и производственной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практики, календарный учебный график и методические материалы, обеспечивающие реализацию соответствующей образовательной технологии.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Срок получения образования по программе бакалавриата определяется в соответствии с федеральными государственными образовательными стандартами высшего образования по соответствующим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направлениям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подготовки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Граждане, получившие документы государств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енного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образца о соответствующем уровне высшего образования, подтверждаемого присвоением гражданину квалификации (степени) «бакалавр», имеют право продолжить на конкурсной основе обучение по образовательной программе высшего образования – программе магистратуры.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3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В образовательной организации учебный год для обучающихся очной и очно-заочной формы обучения начинается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как правило, с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1 сентября и заканчивается согласно рабоче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му учебному плану по конкретному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направлению подготовки.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случае, если 1 сентября является выходным нерабочим днем, учебный год начинается со следующего за выходным рабочего дня.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Сроки начала и окончания учебного года для обучающихся заочной формы обучения устанавливаются рабочим учебным планом.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color w:val="ff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Срок начала учебного года может переноситься образо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вательной организацией по очно-заочной форме получения образования не более чем на 1 месяц. В иных случаях перенос срока начала учебного года осуществляется по решению органа государственной власти, в ведении которого находится образовательная организация.</w:t>
      </w:r>
      <w:r>
        <w:rPr>
          <w:rFonts w:ascii="Times New Roman" w:hAnsi="Times New Roman" w:eastAsia="Times New Roman"/>
          <w:color w:val="ff0000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highlight w:val="none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14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Обучающимся выдается студенческий билет и зачетная книжка. Формы студенческого билета и зачетной книжки устанавливаются федеральным органом исполнительной власти, осуществляющим функции по выработке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 реализации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государственной политики и нормативно-правовому регулированию в сфере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высшего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образования.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4.15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При получении государственной услуги обучающиеся имеют право пользоваться библиотеками, информационными ресурсами, услугами учебных, социально-бытовых, лечебных и других подразделений образовательной организации в порядке, установленном её уставом.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4.16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Обучающимся по очной форме обучения и получающим образование за бюджетных ассигнований бюджета Республики Татарстан в установленном порядке выплачивается государственная академическая и государственная социальная стипендии.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4.17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Получатели государственной услуги, нуждающиеся в жилой площади, обеспечиваются местами в общежитии при наличии соответствующего жилищного фонда образовательной организации.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4.18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Отдельным категориям обучающихся – получателям государственной услуги предоставляются дополнительные меры социальной поддержки, установленные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законодательством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Российской Федерации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4.19.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процессе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предоставления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государственной услуги выполняются следующие мероприятия: лекции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практические занятия, семинары, лабораторные работы, контрольные работы, коллоквиумы, консультации, самостоятельные работы, научно-исследовательские работы, курсовые проектирования (курсовые работы), а также могут проводиться другие виды учебных занятий.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4.20. Чи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сленность обучающихся в учебной группе образовательной организации при получении государственной услуги по очной форме обучения в соответствии с гигиеническими требованиями к условиям обучения не должна превышать 25 человек. Исходя из специфики образовател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ьной организации учебные занятия могут проводиться с группами или подгруппами обучающихся меньшей численности, а также с отдельными обучающимися. Образовательная организация вправе объединять группы обучающихся при проведении учебных занятий в виде лекций.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4.21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Образовательная организация самостоятельна в выборе системы оценок, формы, порядка и периодичности промежуточной аттестации обучающихся. Положение о текущем контроле знаний и промежуточной аттестации обучающихся утверждается образовательной организацией.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Образовательная организация оценивает качество освоения образовательных программ путем осуществления текущего контроля успеваемости, промежуточной аттестации обучающихся и итоговой аттестации выпускников.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Положение о проведении текущего контроля успеваемости и промежуточной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аттестации обучающихся утверждается в порядке, предусмотренном уставом образовательной организации.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33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Итоговая аттестация выпускника образовательной организации является обязательной и осуществляется после освоения образовательной программы в полном объеме.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33" w:lineRule="auto"/>
        <w:widowControl w:val="off"/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Государственная итоговая аттестация обучающихся в образовательных организациях, имеющих государственную аккредитацию, осуществляется государственными аттестационными комиссиями в соответствии с положением, утвержденным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риказом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Министерств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образования и науки Российской Федерации от 29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июня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2015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г.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№ 636 «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 утверждении Порядка проведения государственной итоговой аттестации по образовательным программам высшего образования –  программам бакалавриата, программам специалитета и программам магистратуры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».</w:t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</w:p>
    <w:p>
      <w:pPr>
        <w:ind w:firstLine="720"/>
        <w:jc w:val="both"/>
        <w:spacing w:after="0" w:line="233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4.22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Выпускник образовательной организации считается завершившим обучение на основании приказа образовательной организации о его отчислении в связи с полным освоением основной образовательной программы и прохождением государственной итоговой аттестации.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33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Образовательная организация, имеющая государственную аккредитацию, выдает выпускникам, освоившим основную профессионал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ьную образовательную программу высшего образования в полном объеме и прошедшим государственную итоговую аттестацию, документ государственного образца о соответствующем уровне образования – диплом бакалавра с государственной символикой Российской Федерации.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4.23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Обучающиеся, не прошедшие государственное аттестационное испытание в связи с неявкой на государственное аттестационное испытание по неуважительной причине или в связи с получением оценки «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удовлетвори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тельно», а также обучающиеся из числа инвалидов, не прошедшие государственное аттестационное испытание в установленный для них срок (в связи с неявкой на государственное аттестационное испытание или получением оценки «неудовлетворительно»), отчисляются из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образовательной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организации с выдачей справки об обучении как не выполнившие обязанностей по добросовестному освоению образовательной программы и выполнению учебного плана.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28" w:lineRule="auto"/>
        <w:widowControl w:val="off"/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</w:p>
    <w:p>
      <w:pPr>
        <w:jc w:val="center"/>
        <w:spacing w:after="0" w:line="228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V. Требования к материально-техническому обеспечению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предоставления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28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государственной услуги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firstLine="720"/>
        <w:jc w:val="both"/>
        <w:spacing w:after="0" w:line="228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28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8" w:name="sub_105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5.1. Образовательная организация обеспечивает содержание закрепленных за ней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 (или) принадлежащих ей на праве собственности зданий, сооружений, имущества, оборудования и другого имущества потребительского, социального, культурного и иного назначения.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28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9" w:name="sub_1052"/>
      <w:r/>
      <w:bookmarkEnd w:id="8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5.2.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Образовательная организация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должна располагать материально-техни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ческой базой, обеспечивающей реализацию государственных требований и соответствующей действующим санитарно-техническим нормам.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10" w:name="sub_1053"/>
      <w:r/>
      <w:bookmarkEnd w:id="9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5.3. Размеры площадей основных и дополнительных помещений образовательной организации приним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аются в соответствии с требованиями санитарных и строительных норм и правил в зависимости от реализуемых образовательных программ, единовременной вместимости, технологии процесса обучения, инженерно-технического оборудования, оснащения необходимой мебелью.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11" w:name="sub_1054"/>
      <w:r/>
      <w:bookmarkEnd w:id="10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5.4. </w:t>
      </w:r>
      <w:bookmarkStart w:id="12" w:name="sub_1055"/>
      <w:r/>
      <w:bookmarkEnd w:id="1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Образовательная организация должна быть оснащена оборудованием, аппаратурой и приборами, отвечающими требованиям санитарно-эпидемиологических правил и норм, стандартов, технических условий, других нормативных документов.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5.5. Образовательная организация создает учебные кабинеты и лаборатории, учебные и учебно-производственные ма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стерские в соответствии с реализуемыми образовательными программами высшего образования. Образовательная организация может иметь в качестве структурного подразделения филиалы, общежития, учебно-производственные хозяйства, учебные полигоны, помещения для за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нятия физкультурой и спортом, библиотеку, помещения для питания обучающихся (буфет, столовая), медицинский пункт и другие структурные подразделения.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5.6. Учебная и производственная практика, предусмотренная федеральными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государственными образовательными стандартами высшего образования, осуществляется на основе договоров между образовательной организацией и предприятиями, учреждениями, организаци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ями, в соответствии с которыми указанные предприятия, учреждения, организации независимо от их организационно-правовых форм обязаны предоставлять места для прохождения практики обучающимися образовательной организации, имеющей государственную аккредитацию.</w:t>
      </w:r>
      <w:bookmarkEnd w:id="12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VI. Требования к безопасности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предоставления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 государственной услуги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13" w:name="sub_106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6.1. Образовательные организации должны быть зарегистрированы в качестве юридического лица в установленном законодательством порядке и иметь:</w:t>
      </w:r>
      <w:bookmarkEnd w:id="13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свидетельство о государственной аккредитации;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свидетельство о постановке на учет юридического лица в налоговом органе по месту нахождения на территории Российской Федерации;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свидетельство о внесении записи в Единый государственный реестр юридических лиц;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лицензии на реализуемые образовательные программы.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3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14" w:name="sub_1062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6.2. Помещения образовательной организации должны соответствовать:</w:t>
      </w:r>
      <w:bookmarkEnd w:id="14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3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требованиям, предусмотренным Федеральным законом от 22 июля 2008 года № 123-ФЗ «Технический регламент о требованиях пожарной безопасности»;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3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санитарно-эпидемиологическим нормам.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33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15" w:name="sub_1063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6.3.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Специальное оборудование, приборы и аппаратура должны использоваться строго по назначению в соответствии с эксплуатационными документами, содержаться в технически исправном состоянии.</w:t>
      </w:r>
      <w:bookmarkEnd w:id="15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33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Неисправное специальное оборудование, приборы и аппаратура должны быть заменены, отремонтированы (если они подлежат ремонту) или изъяты из эксплуатации.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33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16" w:name="sub_1064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6.4. Образовательная организация несет ответственность в установленном законодательством Российской Федерации порядке за невыполнение или ненадлежащее выполнение функций, отнесенных к ее компетенции, за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обучающихся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а также за жизнь и здоровье работников образовательной организации. За нарушение или незаконное ограничение прав на образование и предусмотренных законодательством об образовании прав и свобод обучающих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ся, нарушение требований к организации и осуществлению образовательной деятельности образовательная организация и ее должностные лица несут административную ответственность в соответствии с Кодексом Российской Федерации об административных правонарушениях.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33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bookmarkEnd w:id="16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center"/>
        <w:spacing w:after="0" w:line="233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VII. Требования, обеспечивающие доступность государственной услуги для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33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получателей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firstLine="720"/>
        <w:jc w:val="both"/>
        <w:spacing w:after="0" w:line="233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33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17" w:name="sub_1072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7.1. Объем и структура приема получателей государственной услуги в образовательные организации определяются в государственном задании в порядке, установленном Кабинетом Министров Республики Татарстан.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7.2. Расписание занятий образовательной организации в целях создания наиболее благоприятного режима труда и отдыха составляется с учетом возрастных особенностей обучающихся и установленных санитарно-гигиенических норм, при этом начало занятий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образовательных организациях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должно быть не ранее 8.00, а их окончание – не позднее 20.00.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7.3. В образовательных организациях создаются условия для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предоставления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государственной услуги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лицам с ограниченными возможностями здоровья,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том числе инвалидам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путем обеспечения доступности объектов и услуг в соответствии с требованиями, установленными законодательными и иными нормативными правовыми актами.</w:t>
      </w:r>
      <w:bookmarkEnd w:id="17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color w:val="ff0000"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VIII. Требования к уровню кадрового обеспечения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предоставления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 государственной услуги</w:t>
      </w:r>
      <w:r>
        <w:rPr>
          <w:rFonts w:ascii="Times New Roman" w:hAnsi="Times New Roman" w:eastAsia="Times New Roman"/>
          <w:b/>
          <w:bCs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color w:val="ff0000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18" w:name="sub_108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8.1. Образовательная организация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должна быть укомплектована квалифицированными специалистами в соответствии со штатным расписанием 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количеством укомплектованных учебных групп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Порядок комплектования персонала образовательной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регламентируется 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 уставом.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7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/>
      <w:bookmarkStart w:id="19" w:name="sub_1083"/>
      <w:r/>
      <w:bookmarkEnd w:id="18"/>
      <w:r>
        <w:rPr>
          <w:rFonts w:ascii="Times New Roman" w:hAnsi="Times New Roman" w:cs="Times New Roman"/>
          <w:sz w:val="28"/>
          <w:szCs w:val="28"/>
        </w:rPr>
        <w:t xml:space="preserve">8.2.</w:t>
      </w:r>
      <w:r>
        <w:rPr>
          <w:rFonts w:ascii="Times New Roman" w:hAnsi="Times New Roman" w:cs="Times New Roman"/>
          <w:sz w:val="28"/>
          <w:szCs w:val="28"/>
        </w:rPr>
        <w:t xml:space="preserve"> </w:t>
      </w:r>
      <w:r>
        <w:rPr>
          <w:rFonts w:ascii="Times New Roman" w:hAnsi="Times New Roman" w:cs="Times New Roman"/>
          <w:sz w:val="28"/>
          <w:szCs w:val="28"/>
        </w:rPr>
        <w:t xml:space="preserve">К педагогической деятельности в 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допускаются лица: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лишенные права заниматься педагогической деятельностью в соответствии с вступившим в законную силу приговором суда;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имеющие или</w:t>
      </w:r>
      <w:r>
        <w:rPr>
          <w:rFonts w:ascii="Times New Roman" w:hAnsi="Times New Roman" w:cs="Times New Roman"/>
          <w:sz w:val="28"/>
          <w:szCs w:val="28"/>
        </w:rPr>
        <w:t xml:space="preserve"> имевшие судимость, подвергавшиеся уголовному преследова-нию (за исключением лиц, уголовное преследование в отношении которых прекра-щено по реабилитирующим основаниям) за преступления против жизни и здоровья, свободы, чести и достоинства личности (за искл</w:t>
      </w:r>
      <w:r>
        <w:rPr>
          <w:rFonts w:ascii="Times New Roman" w:hAnsi="Times New Roman" w:cs="Times New Roman"/>
          <w:sz w:val="28"/>
          <w:szCs w:val="28"/>
        </w:rPr>
        <w:t xml:space="preserve">ючением незаконной госпитализации в медицинскую организацию, оказывающую психиатрическую помощь в стационарных условиях, и клеветы), половой неприкосновенности и половой свободы личности, против семьи и несовершеннолетних, здоровья населения и общественной</w:t>
      </w:r>
      <w:r>
        <w:rPr>
          <w:rFonts w:ascii="Times New Roman" w:hAnsi="Times New Roman" w:cs="Times New Roman"/>
          <w:sz w:val="28"/>
          <w:szCs w:val="28"/>
        </w:rPr>
        <w:t xml:space="preserve"> нравственности, основ конституционного строя и безопасности государства, мира и безопасности человечества, а также против общественной безопасности, за исключением случаев, предусмотренных частью третьей статьи 331 Трудового кодекса Российской Федерации;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имеющие неснятую или непогашенную судимость за иные умышленные тяжкие и особо тяжкие преступления, не указанные в абзаце третьем настоящего пункта;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3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признанные недееспособными в установленном федеральным законом порядке;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73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shd w:val="clear" w:color="auto" w:fill="00ff7f"/>
        </w:rPr>
        <w:t xml:space="preserve">имеющие статус иностранного аген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shd w:val="clear" w:color="auto" w:fill="00ff7f"/>
        </w:rPr>
        <w:t xml:space="preserve">та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87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имеющие заболевания, предусмотренные перечнем, утверждаемым федераль-ным органом исполнительной власти, осуществляющим функции по выработке государственной политики и нормативно-правовому регулированию в области здравоохранения.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Лица из числа указанных в абзаце третьем настоящего пункта, имевшие суди-</w:t>
      </w:r>
      <w:r>
        <w:rPr>
          <w:rFonts w:ascii="Times New Roman" w:hAnsi="Times New Roman" w:cs="Times New Roman"/>
          <w:sz w:val="28"/>
          <w:szCs w:val="28"/>
        </w:rPr>
        <w:t xml:space="preserve">мость за совершение преступлений небольшой тяжести и преступлений средней тяжести против жизни и здоровья, свободы, чести и</w:t>
      </w:r>
      <w:r>
        <w:rPr>
          <w:rFonts w:ascii="Times New Roman" w:hAnsi="Times New Roman" w:cs="Times New Roman"/>
          <w:sz w:val="28"/>
          <w:szCs w:val="28"/>
        </w:rPr>
        <w:t xml:space="preserve"> достоинства личности (за исклю</w:t>
      </w:r>
      <w:r>
        <w:rPr>
          <w:rFonts w:ascii="Times New Roman" w:hAnsi="Times New Roman" w:cs="Times New Roman"/>
          <w:sz w:val="28"/>
          <w:szCs w:val="28"/>
        </w:rPr>
        <w:t xml:space="preserve">чением незаконной госпитализации в медицинскую организацию, оказывающую психиатрическую помощь в стаци</w:t>
      </w:r>
      <w:r>
        <w:rPr>
          <w:rFonts w:ascii="Times New Roman" w:hAnsi="Times New Roman" w:cs="Times New Roman"/>
          <w:sz w:val="28"/>
          <w:szCs w:val="28"/>
        </w:rPr>
        <w:t xml:space="preserve">онарных условиях, и клеветы), семьи и несовершеннолетних, здоровья населения и общественной нравственности, основ конституционного строя и безопасности государства, мира и безопасности человечества, а также против общественной безопасности, и лица, уголовн</w:t>
      </w:r>
      <w:r>
        <w:rPr>
          <w:rFonts w:ascii="Times New Roman" w:hAnsi="Times New Roman" w:cs="Times New Roman"/>
          <w:sz w:val="28"/>
          <w:szCs w:val="28"/>
        </w:rPr>
        <w:t xml:space="preserve">ое преследование в отношении ко</w:t>
      </w:r>
      <w:r>
        <w:rPr>
          <w:rFonts w:ascii="Times New Roman" w:hAnsi="Times New Roman" w:cs="Times New Roman"/>
          <w:sz w:val="28"/>
          <w:szCs w:val="28"/>
        </w:rPr>
        <w:t xml:space="preserve">торых по обвинению в совершении этих преступлений прекращено по нереабилитирующим основаниям, могут быть допущены к педагогической деятельности при наличии решения </w:t>
      </w:r>
      <w:r>
        <w:rPr>
          <w:rFonts w:ascii="Times New Roman" w:hAnsi="Times New Roman" w:cs="Times New Roman"/>
          <w:sz w:val="28"/>
          <w:szCs w:val="28"/>
        </w:rPr>
        <w:t xml:space="preserve">Республиканской комиссии по делам несовершеннолетних и защите их прав</w:t>
      </w:r>
      <w:r>
        <w:rPr>
          <w:rFonts w:ascii="Times New Roman" w:hAnsi="Times New Roman" w:cs="Times New Roman"/>
          <w:sz w:val="28"/>
          <w:szCs w:val="28"/>
        </w:rPr>
        <w:t xml:space="preserve"> о допуске их к педагогической деятельности.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8.3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Работники образовательной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обязаны соблюдать устав, пра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вила внутреннего распорядка, строго следовать профессиональной этике, качест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венно выполнять возложенные на них функциональные обязанности.</w:t>
      </w:r>
      <w:bookmarkEnd w:id="19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Педагогические работники обязаны обеспечивать высокую эффективность образовательного процесса, систематически заниматься повышением своей квалификации.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20" w:name="sub_1084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8.4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 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Педагогические работники имеют право выбирать методы и средства обучения, обеспечивающие высокое качество образовательного процесса.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21" w:name="sub_1085"/>
      <w:r/>
      <w:bookmarkEnd w:id="20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8.5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Дополнительное профессиональное образование педагогических работни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ков организуется не реже одного раза в три года путем обучения и (или) стажировки в организациях дополнительного профессионального образования, в образовательных организациях и иных организациях в соответствии с законодательством Российской Федерации.</w:t>
      </w:r>
      <w:bookmarkEnd w:id="21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/>
      <w:bookmarkStart w:id="22" w:name="sub_109"/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IX. Требования к информационному обеспечению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получателей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государственной услуги</w:t>
      </w:r>
      <w:bookmarkEnd w:id="22"/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23" w:name="sub_109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9.1. Информация о государственной услуге и образовательной организации должна соответствовать требованиям Закона Российской Федерации от 7 февраля 1992 года № 2300-1 «О защите прав потребителей».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24" w:name="sub_1092"/>
      <w:r/>
      <w:bookmarkEnd w:id="23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9.2.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 целью ознакомле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ния получателя государственной услуги и его родителей (законных представителей) с уставом образовательной организации, лицензией на право ведения образовательной деятельности, со свидетельством о государственной аккредитации образовательной организации по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образовательным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программам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высшего образования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реализуемым образовательной организацией, и дру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гими документами, регламентирующими организацию образовательного процесса и работу приемной комиссии, образовательная организация обязана разместить указанные документы на своем официальном сайте в информационно-телекоммуникационной сети «Интернет» (далее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–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официальный сайт), а также обеспечить свободный доступ в здание образовательной организации к информации, размещенной на информационном стенде (табло) приемной комиссии и (или) в электронной информационной системе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(далее вместе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–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информационный стенд).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9.3.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целях информирования о приеме на обучение на официальном сайте образовательная организация размещает следующую информацию о приеме на обучение: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1) не позднее 20 января года приема на обучение (далее - год приема):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а) перечень направлений подготовки, на которые проводится прием на обучение в данном году;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б) правила приема на обучение, утвержденные образовательной организацией;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в) сроки проведения приема на обучение;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г) перечень вступительных испытаний с указанием по каждому вступительному испытанию следующих сведений: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наименование вступительного испытания;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максимальное количество баллов;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минимальное количество баллов;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приоритетность испытания при ранжировании;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для внутреннего вступительного испытания - форма проведения, языки, на которых осуществляется проведение вступительного испытания, программа вступительного испытания;</w:t>
      </w:r>
      <w:r>
        <w:rPr>
          <w:highlight w:val="white"/>
        </w:rPr>
      </w:r>
      <w:r>
        <w:rPr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информация о проведении вступительного испытания очно и (или) с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использованием дистанционных технологий;</w:t>
      </w:r>
      <w:r>
        <w:rPr>
          <w:highlight w:val="white"/>
        </w:rPr>
      </w:r>
      <w:r>
        <w:rPr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особенности проведения вступительного испытания для инвалидов и лиц с ограниченными возможностями здоровья;</w:t>
      </w:r>
      <w:r>
        <w:rPr>
          <w:highlight w:val="white"/>
        </w:rPr>
      </w:r>
      <w:r>
        <w:rPr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д) порядок учета индивидуальных достижений;</w:t>
      </w:r>
      <w:r>
        <w:rPr>
          <w:highlight w:val="white"/>
        </w:rPr>
      </w:r>
      <w:r>
        <w:rPr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е) перечень общих индивидуальных достижений, учитываемых при приеме на обучение;</w:t>
      </w:r>
      <w:r>
        <w:rPr>
          <w:highlight w:val="white"/>
        </w:rPr>
      </w:r>
      <w:r>
        <w:rPr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ж) информация о предоставлении особых прав и особого преимущества;</w:t>
      </w:r>
      <w:r>
        <w:rPr>
          <w:highlight w:val="white"/>
        </w:rPr>
      </w:r>
      <w:r>
        <w:rPr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з) информация о необходимости (отсутствии необходимости) прохождения поступающими обязательного предварительного медицинского осмотра (обследования);</w:t>
      </w:r>
      <w:r>
        <w:rPr>
          <w:highlight w:val="white"/>
        </w:rPr>
      </w:r>
      <w:r>
        <w:rPr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и) информация о местах приема документов, почтовых адресах для направления документов, необходимых для поступления, электронных адресах для взаимодействия с поступающими;</w:t>
      </w:r>
      <w:r>
        <w:rPr>
          <w:highlight w:val="white"/>
        </w:rPr>
      </w:r>
      <w:r>
        <w:rPr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к) информация о наличии общежития(ий) для обучающихся;</w:t>
      </w:r>
      <w:r>
        <w:rPr>
          <w:highlight w:val="white"/>
        </w:rPr>
      </w:r>
      <w:r>
        <w:rPr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л) количество мест для приема на обучение по различным условиям поступления в рамках контрольных цифр приема (без указания квот);</w:t>
      </w:r>
      <w:r>
        <w:rPr>
          <w:highlight w:val="white"/>
        </w:rPr>
      </w:r>
      <w:r>
        <w:rPr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2) не позднее 10 апреля года приема - количество мест для приема на обучение в рамках контрольных цифр приема по различным конкурсным группам, в том числе на места в пределах особой квоты, отдельной квоты, целевой квоты;</w:t>
      </w:r>
      <w:r>
        <w:rPr>
          <w:highlight w:val="white"/>
        </w:rPr>
      </w:r>
      <w:r>
        <w:rPr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3) не позднее чем за 5 месяцев до начала зачисления на платные места:</w:t>
      </w:r>
      <w:r>
        <w:rPr>
          <w:highlight w:val="white"/>
        </w:rPr>
      </w:r>
      <w:r>
        <w:rPr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количество платных мест;</w:t>
      </w:r>
      <w:r>
        <w:rPr>
          <w:highlight w:val="white"/>
        </w:rPr>
      </w:r>
      <w:r>
        <w:rPr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образец договора об образовании;</w:t>
      </w:r>
      <w:r>
        <w:rPr>
          <w:highlight w:val="white"/>
        </w:rPr>
      </w:r>
      <w:r>
        <w:rPr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4) не позднее 1 июня года приема:</w:t>
      </w:r>
      <w:r>
        <w:rPr>
          <w:highlight w:val="white"/>
        </w:rPr>
      </w:r>
      <w:r>
        <w:rPr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информация о количестве мест в общежитиях для обучающихся;</w:t>
      </w:r>
      <w:r>
        <w:rPr>
          <w:highlight w:val="white"/>
        </w:rPr>
      </w:r>
      <w:r>
        <w:rPr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расписание вступительных испытаний.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9.4. В период приема документов приемная комиссия образовательной органи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-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зации ежедневно информирует о количестве поданных заявлений, конкурсе и сдаче вс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тупительных испытаний по каждому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направлению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подготовки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, организует функционирование специальных телефонных линий для ответов на все вопросы поступающих.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9.5. Информация о количестве поданных заявлений, конкурсе и результатах сдачи вступительных испытаний должна быть представлена по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каждому направлению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подготовки с выделением форм получения образования, указанием программ бакалавриата и размещена на официальном сайте образовательной организации и на информационном стенде приемной комиссии.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9.6.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Информация об образовательной организации, её государственной реги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страции, наименовании зарегистрировавшего её органа, объеме государственного задания на очередной финансовый год должна быть размещена на интернет-сайте органа исполнительной власти, выдавшего государственное задание образовательной организации.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9.7. 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бразовательная организация обязана своевременно предоставить получателю достоверную информацию о государственной услуге, ознакомить с правилами и условиями получения государственной услуги. В состав информации о государственной услуге должны быть включены: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настоящий Стандарт;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наименование федеральных государственных стандартов высшего образования, обучение по которым ведется в образовательной организации;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информация об условиях предоставления государственной услуги;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информация о возможности влияния получателей государственной услуги на качество услуги;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сведения о средствах коммуникации получателей государственной услуги с работниками образовательной организации;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информация о возможности оценки качества государственной услуги со стороны получателя;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информация о предоставлении платных услуг с указанием размера стоимости услуги;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правила и условия эффективного и безопасного предоставления государственной услуги;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гарантийные обязательства образовательной организации.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9.8. Способ и порядок предоставления информации определяются в соответ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ствии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 законодательством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Российской Федерации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bookmarkEnd w:id="24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X.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Исчерпывающий перечень оснований для отказа в предоставлении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государственной услуги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26" w:name="sub_110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10.1. 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Основаниями для отказа в предоставлении государственной услуги являются:</w:t>
      </w:r>
      <w:bookmarkEnd w:id="26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отсутствие одного или нескольких документов, приведенных в перечне документов, необходимых для получения государственной услуги, согласно разделу III настоящего Стандарта;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получение по результатам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единого государственного экзамена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на вступительных испытаниях или дополнительных вступительных испытаниях результата ниже установленного минимального количества баллов, подтверждающего успешное прохождение вступительных испытаний или дополнительных вступительных испытаний;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получение по результатам единого государственного экзамена результата ниже установленного образовательной организацией минимального количества баллов, по которым проводится прием на обучение;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неявка без уважительной причины на вступительные испытания или дополнительные вступительные испытания;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наличие медицинских противопоказаний.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10.2.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Основаниями для прекращени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предоставления государственной услуги являются: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ьность;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 инициативе образовательной организации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профессиональной образоват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ление в образовательную организацию;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 обстоятельствам, не зависящим от воли обучающегося или родителей (законных представителей) несовершеннолетнего обучающегося и образовательной организации, в том числе в случае ликвидации образовательной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10.3. Порядок отчисления обучающихся определяется уставом образователь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ной организации.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  <w:sectPr>
          <w:headerReference w:type="default" r:id="rId9"/>
          <w:headerReference w:type="first" r:id="rId10"/>
          <w:footnotePr/>
          <w:endnotePr/>
          <w:type w:val="nextPage"/>
          <w:pgSz w:w="11906" w:h="16838" w:orient="portrait"/>
          <w:pgMar w:top="1134" w:right="567" w:bottom="1134" w:left="1134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7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XI</w:t>
      </w:r>
      <w:r>
        <w:rPr>
          <w:rFonts w:ascii="Times New Roman" w:hAnsi="Times New Roman" w:cs="Times New Roman"/>
          <w:b/>
          <w:sz w:val="28"/>
          <w:szCs w:val="28"/>
        </w:rPr>
        <w:t xml:space="preserve">. Описание результата предоставления государственной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73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услуги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7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9"/>
        <w:jc w:val="both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 предоставления государственной услуги оценивается следующими индикаторами качества предоставления государственной услуги: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124"/>
        <w:gridCol w:w="1711"/>
        <w:gridCol w:w="5086"/>
        <w:gridCol w:w="1701"/>
        <w:gridCol w:w="1701"/>
        <w:gridCol w:w="1814"/>
      </w:tblGrid>
      <w:tr>
        <w:tblPrEx/>
        <w:trPr>
          <w:cantSplit/>
          <w:jc w:val="center"/>
          <w:trHeight w:val="964"/>
        </w:trPr>
        <w:tc>
          <w:tcPr>
            <w:shd w:val="clear" w:color="auto" w:fill="auto"/>
            <w:tcW w:w="312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Наименование показателя оценки качества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171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Единица измерения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50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Формула расчета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Весовой коэффициент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Пороговое значение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/>
              </w:rPr>
              <w:t xml:space="preserve">показателя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ffffff" w:fill="ffffff"/>
            <w:tcW w:w="181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Источник информации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</w:tr>
    </w:tbl>
    <w:p>
      <w:pPr>
        <w:jc w:val="center"/>
        <w:spacing w:after="0" w:line="240" w:lineRule="auto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131"/>
        <w:gridCol w:w="1676"/>
        <w:gridCol w:w="5114"/>
        <w:gridCol w:w="1701"/>
        <w:gridCol w:w="1701"/>
        <w:gridCol w:w="1814"/>
      </w:tblGrid>
      <w:tr>
        <w:tblPrEx/>
        <w:trPr>
          <w:cantSplit/>
          <w:jc w:val="center"/>
          <w:trHeight w:val="187"/>
          <w:tblHeader/>
        </w:trPr>
        <w:tc>
          <w:tcPr>
            <w:shd w:val="clear" w:color="auto" w:fill="auto"/>
            <w:tcW w:w="313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1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16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2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51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3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4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5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ffffff" w:fill="ffffff"/>
            <w:tcW w:w="181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6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</w:tr>
      <w:tr>
        <w:tblPrEx/>
        <w:trPr>
          <w:cantSplit/>
          <w:jc w:val="center"/>
          <w:trHeight w:val="0"/>
        </w:trPr>
        <w:tc>
          <w:tcPr>
            <w:shd w:val="clear" w:color="auto" w:fill="auto"/>
            <w:tcW w:w="3131" w:type="dxa"/>
            <w:textDirection w:val="lrTb"/>
            <w:noWrap w:val="false"/>
          </w:tcPr>
          <w:p>
            <w:pPr>
              <w:ind w:firstLine="32"/>
              <w:jc w:val="both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1. Доля выпускников, получивших диплом о высшем образовании, в общей численности выпускников по программам высшего образования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1676" w:type="dxa"/>
            <w:textDirection w:val="lrTb"/>
            <w:noWrap w:val="false"/>
          </w:tcPr>
          <w:p>
            <w:pPr>
              <w:ind w:firstLine="32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процентов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51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</w:rPr>
            </w:pPr>
            <w:r/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rPr>
                    <m:sty m:val="p"/>
                  </m:rPr>
                  <m:t> </m:t>
                </m:r>
                <m:f>
                  <m:fPr>
                    <m:ctrlPr>
                      <w:rPr>
                        <w:rFonts w:ascii="Cambria Math" w:hAnsi="Cambria Math" w:eastAsia="Times New Roma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Times New Roman" w:hAnsi="Times New Roman"/>
                          </w:rPr>
                          <m:rPr>
                            <m:nor m:val="on"/>
                          </m:rPr>
                          <m:t>В</m:t>
                        </m:r>
                      </m:e>
                      <m:sub>
                        <m:r>
                          <w:rPr>
                            <w:rFonts w:ascii="Times New Roman" w:hAnsi="Times New Roman"/>
                          </w:rPr>
                          <m:rPr>
                            <m:nor m:val="on"/>
                          </m:rPr>
                          <m:t>д</m:t>
                        </m:r>
                      </m:sub>
                    </m:sSub>
                  </m:num>
                  <m:den>
                    <m:r>
                      <w:rPr>
                        <w:rFonts w:ascii="Times New Roman" w:hAnsi="Times New Roman" w:eastAsia="Times New Roman"/>
                      </w:rPr>
                      <m:rPr>
                        <m:nor m:val="on"/>
                      </m:rPr>
                      <m:t>В</m:t>
                    </m:r>
                  </m:den>
                </m:f>
                <m:r>
                  <w:rPr>
                    <w:rFonts w:ascii="Cambria Math" w:hAnsi="Times New Roman"/>
                    <w:color w:val="000000"/>
                  </w:rPr>
                  <m:rPr>
                    <m:nor m:val="on"/>
                  </m:rPr>
                  <m:t> </m:t>
                </m:r>
                <m:r>
                  <w:rPr>
                    <w:rFonts w:ascii="Times New Roman" w:hAnsi="Times New Roman"/>
                    <w:color w:val="000000"/>
                  </w:rPr>
                  <m:rPr>
                    <m:nor m:val="on"/>
                  </m:rPr>
                  <m:t>× 100%</m:t>
                </m:r>
                <m:r>
                  <w:rPr>
                    <w:rFonts w:ascii="Times New Roman" w:hAnsi="Times New Roman" w:eastAsia="Times New Roman"/>
                  </w:rPr>
                  <m:rPr>
                    <m:nor m:val="on"/>
                  </m:rPr>
                  <m:t>, </m:t>
                </m:r>
              </m:oMath>
            </m:oMathPara>
            <w:r>
              <w:rPr>
                <w:rFonts w:ascii="Times New Roman" w:hAnsi="Times New Roman" w:eastAsia="Times New Roman"/>
                <w:i/>
              </w:rPr>
            </w:r>
            <w:r>
              <w:rPr>
                <w:rFonts w:ascii="Times New Roman" w:hAnsi="Times New Roman" w:eastAsia="Times New Roman"/>
                <w:i/>
              </w:rPr>
            </w:r>
          </w:p>
          <w:p>
            <w:pPr>
              <w:ind w:firstLine="32"/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</w:rPr>
            </w:r>
          </w:p>
          <w:p>
            <w:pPr>
              <w:ind w:firstLine="32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где:                    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  <w:p>
            <w:pPr>
              <w:ind w:firstLine="32"/>
              <w:jc w:val="both"/>
              <w:spacing w:after="0" w:line="240" w:lineRule="auto"/>
              <w:rPr>
                <w:rFonts w:ascii="Times New Roman" w:hAnsi="Times New Roman" w:eastAsia="Times New Roman"/>
              </w:rPr>
            </w:pPr>
            <w:r/>
            <m:oMath>
              <m:sSub>
                <m:sSubPr>
                  <m:ctrlPr>
                    <w:rPr>
                      <w:rFonts w:ascii="Cambria Math" w:hAnsi="Cambria Math" w:eastAsia="Times New Roman"/>
                      <w:i/>
                    </w:rPr>
                  </m:ctrlPr>
                </m:sSubPr>
                <m:e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В</m:t>
                  </m:r>
                </m:e>
                <m:sub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д</m:t>
                  </m:r>
                </m:sub>
              </m:sSub>
            </m:oMath>
            <w:r>
              <w:rPr>
                <w:rFonts w:ascii="Times New Roman" w:hAnsi="Times New Roman" w:eastAsia="Times New Roman"/>
              </w:rPr>
              <w:t xml:space="preserve"> – число выпускников образовательной</w:t>
            </w:r>
            <w:r>
              <w:rPr>
                <w:rFonts w:ascii="Times New Roman" w:hAnsi="Times New Roman" w:eastAsia="Times New Roman"/>
              </w:rPr>
              <w:t xml:space="preserve"> организации</w:t>
            </w:r>
            <w:r>
              <w:rPr>
                <w:rFonts w:ascii="Times New Roman" w:hAnsi="Times New Roman" w:eastAsia="Times New Roman"/>
              </w:rPr>
              <w:t xml:space="preserve"> программам бакалавриата, получивших диплом о высшем образовании;            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  <w:p>
            <w:pPr>
              <w:ind w:firstLine="32"/>
              <w:jc w:val="both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В – общая численность выпускников по программам бакалавриата             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ind w:firstLine="32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10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pStyle w:val="714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100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814" w:type="dxa"/>
            <w:textDirection w:val="lrTb"/>
            <w:noWrap w:val="false"/>
          </w:tcPr>
          <w:p>
            <w:pPr>
              <w:pStyle w:val="714"/>
              <w:jc w:val="both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форма федерального статистического наблюдения № ВПО-1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  <w:p>
            <w:pPr>
              <w:pStyle w:val="714"/>
              <w:jc w:val="both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«Сведения об образовательной организации, осуществляющей образовательную деятельность по образовательным программам высшего образования» (утверждена приказом Федеральной службы государственной статистики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 от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18.09.2024 № 419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W w:w="3131" w:type="dxa"/>
            <w:textDirection w:val="lrTb"/>
            <w:noWrap w:val="false"/>
          </w:tcPr>
          <w:p>
            <w:pPr>
              <w:ind w:firstLine="32"/>
              <w:jc w:val="both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2. Доля получателей государст</w:t>
            </w:r>
            <w:r>
              <w:rPr>
                <w:rFonts w:ascii="Times New Roman" w:hAnsi="Times New Roman" w:eastAsia="Times New Roman"/>
              </w:rPr>
              <w:t xml:space="preserve">венной услуги, удовлетворенных качеством и доступностью услуги        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1676" w:type="dxa"/>
            <w:textDirection w:val="lrTb"/>
            <w:noWrap w:val="false"/>
          </w:tcPr>
          <w:p>
            <w:pPr>
              <w:ind w:firstLine="32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процентов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51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</w:rPr>
            </w:pPr>
            <w:r/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eastAsia="Times New Roman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eastAsia="Times New Roman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eastAsia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Times New Roman" w:hAnsi="Times New Roman" w:eastAsia="Times New Roman"/>
                              </w:rPr>
                              <m:rPr>
                                <m:nor m:val="on"/>
                              </m:rPr>
                              <m:t>О</m:t>
                            </m:r>
                          </m:e>
                          <m:sub>
                            <m:r>
                              <w:rPr>
                                <w:rFonts w:ascii="Times New Roman" w:hAnsi="Times New Roman" w:eastAsia="Times New Roman"/>
                              </w:rPr>
                              <m:rPr>
                                <m:nor m:val="on"/>
                              </m:rPr>
                              <m:t>к</m:t>
                            </m:r>
                          </m:sub>
                        </m:sSub>
                        <m:r>
                          <w:rPr>
                            <w:rFonts w:ascii="Times New Roman" w:hAnsi="Times New Roman" w:eastAsia="Times New Roman"/>
                          </w:rPr>
                          <m:rPr>
                            <m:nor m:val="on"/>
                          </m:rPr>
                          <m:t>+ 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Times New Roman" w:hAnsi="Times New Roman" w:eastAsia="Times New Roman"/>
                              </w:rPr>
                              <m:rPr>
                                <m:nor m:val="on"/>
                              </m:rPr>
                              <m:t>О</m:t>
                            </m:r>
                          </m:e>
                          <m:sub>
                            <m:r>
                              <w:rPr>
                                <w:rFonts w:ascii="Times New Roman" w:hAnsi="Times New Roman" w:eastAsia="Times New Roman"/>
                              </w:rPr>
                              <m:rPr>
                                <m:nor m:val="on"/>
                              </m:rPr>
                              <m:t>д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Times New Roman" w:hAnsi="Times New Roman" w:eastAsia="Times New Roman"/>
                          </w:rPr>
                          <m:rPr>
                            <m:nor m:val="on"/>
                          </m:rPr>
                          <m:t>2</m:t>
                        </m:r>
                      </m:den>
                    </m:f>
                  </m:num>
                  <m:den>
                    <m:sSub>
                      <m:sSubPr>
                        <m:ctrlPr>
                          <w:rPr>
                            <w:rFonts w:ascii="Cambria Math" w:hAnsi="Cambria Math" w:eastAsia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Times New Roman" w:hAnsi="Times New Roman" w:eastAsia="Times New Roman"/>
                          </w:rPr>
                          <m:rPr>
                            <m:nor m:val="on"/>
                          </m:rPr>
                          <m:t>О</m:t>
                        </m:r>
                      </m:e>
                      <m:sub>
                        <m:r>
                          <w:rPr>
                            <w:rFonts w:ascii="Times New Roman" w:hAnsi="Times New Roman" w:eastAsia="Times New Roman"/>
                          </w:rPr>
                          <m:rPr>
                            <m:nor m:val="on"/>
                          </m:rPr>
                          <m:t>общ</m:t>
                        </m:r>
                      </m:sub>
                    </m:sSub>
                  </m:den>
                </m:f>
                <m:r>
                  <w:rPr>
                    <w:rFonts w:ascii="Cambria Math" w:hAnsi="Times New Roman"/>
                    <w:color w:val="000000"/>
                  </w:rPr>
                  <m:rPr>
                    <m:nor m:val="on"/>
                  </m:rPr>
                  <m:t> </m:t>
                </m:r>
                <m:r>
                  <w:rPr>
                    <w:rFonts w:ascii="Times New Roman" w:hAnsi="Times New Roman"/>
                    <w:color w:val="000000"/>
                  </w:rPr>
                  <m:rPr>
                    <m:nor m:val="on"/>
                  </m:rPr>
                  <m:t>× 100%</m:t>
                </m:r>
                <m:r>
                  <w:rPr>
                    <w:rFonts w:ascii="Times New Roman" w:hAnsi="Times New Roman" w:eastAsia="Times New Roman"/>
                  </w:rPr>
                  <m:rPr>
                    <m:nor m:val="on"/>
                  </m:rPr>
                  <m:t>, </m:t>
                </m:r>
              </m:oMath>
            </m:oMathPara>
            <w:r>
              <w:rPr>
                <w:rFonts w:ascii="Times New Roman" w:hAnsi="Times New Roman" w:eastAsia="Times New Roman"/>
                <w:i/>
              </w:rPr>
            </w:r>
            <w:r>
              <w:rPr>
                <w:rFonts w:ascii="Times New Roman" w:hAnsi="Times New Roman" w:eastAsia="Times New Roman"/>
                <w:i/>
              </w:rPr>
            </w:r>
          </w:p>
          <w:p>
            <w:pPr>
              <w:ind w:firstLine="32"/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</w:rPr>
            </w:r>
          </w:p>
          <w:p>
            <w:pPr>
              <w:ind w:firstLine="32"/>
              <w:jc w:val="both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где:</w:t>
            </w:r>
            <w:r>
              <w:rPr>
                <w:rFonts w:ascii="Times New Roman" w:hAnsi="Times New Roman" w:eastAsia="Times New Roman"/>
              </w:rPr>
              <w:br/>
            </w:r>
            <m:oMath>
              <m:sSub>
                <m:sSubPr>
                  <m:ctrlPr>
                    <w:rPr>
                      <w:rFonts w:ascii="Cambria Math" w:hAnsi="Cambria Math" w:eastAsia="Times New Roman"/>
                      <w:i/>
                    </w:rPr>
                  </m:ctrlPr>
                </m:sSubPr>
                <m:e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О</m:t>
                  </m:r>
                </m:e>
                <m:sub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к</m:t>
                  </m:r>
                </m:sub>
              </m:sSub>
            </m:oMath>
            <w:r>
              <w:rPr>
                <w:rFonts w:ascii="Times New Roman" w:hAnsi="Times New Roman" w:eastAsia="Times New Roman"/>
              </w:rPr>
              <w:t xml:space="preserve">–</w:t>
            </w:r>
            <w:r>
              <w:rPr>
                <w:rFonts w:ascii="Times New Roman" w:hAnsi="Times New Roman" w:eastAsia="Times New Roman"/>
              </w:rPr>
              <w:t xml:space="preserve"> число опрошенных, удовлетворенных качеством услуг;</w:t>
            </w:r>
            <w:r>
              <w:rPr>
                <w:rFonts w:ascii="Times New Roman" w:hAnsi="Times New Roman" w:eastAsia="Times New Roman"/>
              </w:rPr>
              <w:br/>
            </w:r>
            <m:oMath>
              <m:sSub>
                <m:sSubPr>
                  <m:ctrlPr>
                    <w:rPr>
                      <w:rFonts w:ascii="Cambria Math" w:hAnsi="Cambria Math" w:eastAsia="Times New Roman"/>
                      <w:i/>
                    </w:rPr>
                  </m:ctrlPr>
                </m:sSubPr>
                <m:e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О</m:t>
                  </m:r>
                </m:e>
                <m:sub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д</m:t>
                  </m:r>
                </m:sub>
              </m:sSub>
            </m:oMath>
            <w:r>
              <w:rPr>
                <w:rFonts w:ascii="Times New Roman" w:hAnsi="Times New Roman" w:eastAsia="Times New Roman"/>
              </w:rPr>
              <w:t xml:space="preserve"> –</w:t>
            </w:r>
            <w:r>
              <w:rPr>
                <w:rFonts w:ascii="Times New Roman" w:hAnsi="Times New Roman" w:eastAsia="Times New Roman"/>
              </w:rPr>
              <w:t xml:space="preserve"> число опрошенных, удовлетворенных доступностью услуг;</w:t>
            </w:r>
            <w:r>
              <w:rPr>
                <w:rFonts w:ascii="Times New Roman" w:hAnsi="Times New Roman" w:eastAsia="Times New Roman"/>
              </w:rPr>
              <w:br/>
            </w:r>
            <m:oMath>
              <m:sSub>
                <m:sSubPr>
                  <m:ctrlPr>
                    <w:rPr>
                      <w:rFonts w:ascii="Cambria Math" w:hAnsi="Cambria Math" w:eastAsia="Times New Roman"/>
                      <w:i/>
                    </w:rPr>
                  </m:ctrlPr>
                </m:sSubPr>
                <m:e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О</m:t>
                  </m:r>
                </m:e>
                <m:sub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общ</m:t>
                  </m:r>
                </m:sub>
              </m:sSub>
            </m:oMath>
            <w:r>
              <w:rPr>
                <w:rFonts w:ascii="Times New Roman" w:hAnsi="Times New Roman" w:eastAsia="Times New Roman"/>
              </w:rPr>
              <w:t xml:space="preserve"> –</w:t>
            </w:r>
            <w:r>
              <w:rPr>
                <w:rFonts w:ascii="Times New Roman" w:hAnsi="Times New Roman" w:eastAsia="Times New Roman"/>
              </w:rPr>
              <w:t xml:space="preserve"> общее число опрошенных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ind w:firstLine="32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9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pStyle w:val="714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90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814" w:type="dxa"/>
            <w:textDirection w:val="lrTb"/>
            <w:noWrap w:val="false"/>
          </w:tcPr>
          <w:p>
            <w:pPr>
              <w:pStyle w:val="714"/>
              <w:jc w:val="both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определяется по результатам опросов обучающихся, их родителей (законных представителей) и работодателей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  <w:tr>
        <w:tblPrEx/>
        <w:trPr>
          <w:jc w:val="center"/>
          <w:trHeight w:val="3423"/>
        </w:trPr>
        <w:tc>
          <w:tcPr>
            <w:shd w:val="clear" w:color="auto" w:fill="auto"/>
            <w:tcW w:w="3131" w:type="dxa"/>
            <w:textDirection w:val="lrTb"/>
            <w:noWrap w:val="false"/>
          </w:tcPr>
          <w:p>
            <w:pPr>
              <w:ind w:firstLine="32"/>
              <w:jc w:val="both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3. Доля обоснованных жалоб получателей государственной услу</w:t>
            </w:r>
            <w:r>
              <w:rPr>
                <w:rFonts w:ascii="Times New Roman" w:hAnsi="Times New Roman" w:eastAsia="Times New Roman"/>
              </w:rPr>
              <w:t xml:space="preserve">ги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1676" w:type="dxa"/>
            <w:textDirection w:val="lrTb"/>
            <w:noWrap w:val="false"/>
          </w:tcPr>
          <w:p>
            <w:pPr>
              <w:ind w:firstLine="32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процентов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51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</w:rPr>
            </w:pPr>
            <w:r/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eastAsia="Times New Roma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rPr/>
                          <m:t>Ж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rPr/>
                          <m:t>о</m:t>
                        </m:r>
                      </m:sub>
                    </m:sSub>
                  </m:num>
                  <m:den>
                    <m:r>
                      <w:rPr>
                        <w:rFonts w:ascii="Times New Roman" w:hAnsi="Times New Roman" w:eastAsia="Times New Roman"/>
                      </w:rPr>
                      <m:rPr>
                        <m:nor m:val="on"/>
                      </m:rPr>
                      <m:t>Ж</m:t>
                    </m:r>
                  </m:den>
                </m:f>
                <m:r>
                  <w:rPr>
                    <w:rFonts w:ascii="Cambria Math" w:hAnsi="Times New Roman"/>
                    <w:color w:val="000000"/>
                  </w:rPr>
                  <m:rPr>
                    <m:nor m:val="on"/>
                  </m:rPr>
                  <m:t> </m:t>
                </m:r>
                <m:r>
                  <w:rPr>
                    <w:rFonts w:ascii="Times New Roman" w:hAnsi="Times New Roman"/>
                    <w:color w:val="000000"/>
                  </w:rPr>
                  <m:rPr>
                    <m:nor m:val="on"/>
                  </m:rPr>
                  <m:t>× 100%</m:t>
                </m:r>
                <m:r>
                  <w:rPr>
                    <w:rFonts w:ascii="Times New Roman" w:hAnsi="Times New Roman" w:eastAsia="Times New Roman"/>
                  </w:rPr>
                  <m:rPr>
                    <m:nor m:val="on"/>
                  </m:rPr>
                  <m:t>, </m:t>
                </m:r>
              </m:oMath>
            </m:oMathPara>
            <w:r>
              <w:rPr>
                <w:rFonts w:ascii="Times New Roman" w:hAnsi="Times New Roman" w:eastAsia="Times New Roman"/>
                <w:i/>
              </w:rPr>
            </w:r>
            <w:r>
              <w:rPr>
                <w:rFonts w:ascii="Times New Roman" w:hAnsi="Times New Roman" w:eastAsia="Times New Roman"/>
                <w:i/>
              </w:rPr>
            </w:r>
          </w:p>
          <w:p>
            <w:pPr>
              <w:ind w:firstLine="32"/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</w:rPr>
            </w:r>
          </w:p>
          <w:p>
            <w:pPr>
              <w:ind w:firstLine="32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где: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  <w:p>
            <w:pPr>
              <w:ind w:firstLine="32"/>
              <w:jc w:val="both"/>
              <w:spacing w:after="0" w:line="240" w:lineRule="auto"/>
              <w:rPr>
                <w:rFonts w:ascii="Times New Roman" w:hAnsi="Times New Roman" w:eastAsia="Times New Roman"/>
              </w:rPr>
            </w:pPr>
            <w:r/>
            <m:oMath>
              <m:sSub>
                <m:sSubPr>
                  <m:ctrlPr>
                    <w:rPr>
                      <w:rFonts w:ascii="Cambria Math" w:hAnsi="Cambria Math" w:eastAsia="Times New Roman"/>
                      <w:i/>
                    </w:rPr>
                  </m:ctrlPr>
                </m:sSubPr>
                <m:e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Ж</m:t>
                  </m:r>
                </m:e>
                <m:sub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о</m:t>
                  </m:r>
                </m:sub>
              </m:sSub>
            </m:oMath>
            <w:r>
              <w:rPr>
                <w:rFonts w:ascii="Times New Roman" w:hAnsi="Times New Roman" w:eastAsia="Times New Roman"/>
              </w:rPr>
              <w:t xml:space="preserve"> </w:t>
            </w:r>
            <w:r>
              <w:rPr>
                <w:rFonts w:ascii="Times New Roman" w:hAnsi="Times New Roman" w:eastAsia="Times New Roman"/>
              </w:rPr>
              <w:t xml:space="preserve">–</w:t>
            </w:r>
            <w:r>
              <w:rPr>
                <w:rFonts w:ascii="Times New Roman" w:hAnsi="Times New Roman" w:eastAsia="Times New Roman"/>
              </w:rPr>
              <w:t xml:space="preserve"> число обоснованных жалоб получателей государственной услуги, поступивших в отчетный период;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  <w:p>
            <w:pPr>
              <w:ind w:firstLine="32"/>
              <w:jc w:val="both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Ж –</w:t>
            </w:r>
            <w:r>
              <w:rPr>
                <w:rFonts w:ascii="Times New Roman" w:hAnsi="Times New Roman" w:eastAsia="Times New Roman"/>
              </w:rPr>
              <w:t xml:space="preserve"> общее число жалоб получателей государственной услуги, поступивших в отчетный период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ind w:firstLine="32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9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pStyle w:val="714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0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814" w:type="dxa"/>
            <w:textDirection w:val="lrTb"/>
            <w:noWrap w:val="false"/>
          </w:tcPr>
          <w:p>
            <w:pPr>
              <w:pStyle w:val="714"/>
              <w:jc w:val="both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определяется на основании анализа жалоб, поступивших в виде писем граждан по почте либо электронной почте, и сведений о принятых по ним мерах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  <w:tr>
        <w:tblPrEx/>
        <w:trPr>
          <w:jc w:val="center"/>
          <w:trHeight w:val="703"/>
        </w:trPr>
        <w:tc>
          <w:tcPr>
            <w:shd w:val="clear" w:color="auto" w:fill="auto"/>
            <w:tcW w:w="3131" w:type="dxa"/>
            <w:textDirection w:val="lrTb"/>
            <w:noWrap w:val="false"/>
          </w:tcPr>
          <w:p>
            <w:pPr>
              <w:ind w:firstLine="32"/>
              <w:jc w:val="both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4. Доля профессорско-преподавательского состава (далее – ППС) с учеными степенями и званиями, работающего в образовательной </w:t>
            </w:r>
            <w:r>
              <w:rPr>
                <w:rFonts w:ascii="Times New Roman" w:hAnsi="Times New Roman" w:eastAsia="Times New Roman"/>
              </w:rPr>
              <w:t xml:space="preserve">организации </w:t>
            </w:r>
            <w:r>
              <w:rPr>
                <w:rFonts w:ascii="Times New Roman" w:hAnsi="Times New Roman" w:eastAsia="Times New Roman"/>
              </w:rPr>
              <w:t xml:space="preserve">на штатной основе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1676" w:type="dxa"/>
            <w:textDirection w:val="lrTb"/>
            <w:noWrap w:val="false"/>
          </w:tcPr>
          <w:p>
            <w:pPr>
              <w:ind w:firstLine="32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процентов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51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/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eastAsia="Cambria Math" w:cs="Cambria Math"/>
                        <w:b w:val="0"/>
                        <w:sz w:val="22"/>
                      </w:rPr>
                    </m:ctrlPr>
                  </m:fPr>
                  <m:num>
                    <m:r>
                      <w:rPr>
                        <w:rFonts w:hint="default" w:ascii="Cambria Math" w:hAnsi="Cambria Math" w:eastAsia="Cambria Math" w:cs="Cambria Math"/>
                        <w:sz w:val="22"/>
                        <w:szCs w:val="22"/>
                      </w:rPr>
                      <m:rPr>
                        <m:sty m:val="p"/>
                      </m:rPr>
                      <m:t>А</m:t>
                    </m:r>
                  </m:num>
                  <m:den>
                    <m:r>
                      <w:rPr>
                        <w:rFonts w:ascii="Times New Roman" w:hAnsi="Times New Roman" w:eastAsia="Times New Roman" w:cs="Times New Roman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m:rPr>
                        <m:nor m:val="on"/>
                      </m:rPr>
                      <m:t>В</m:t>
                    </m:r>
                  </m:den>
                </m:f>
                <m:r>
                  <w:rPr>
                    <w:rFonts w:ascii="Cambria Math" w:hAnsi="Times New Roman"/>
                    <w:color w:val="000000"/>
                    <w:sz w:val="22"/>
                    <w:szCs w:val="22"/>
                  </w:rPr>
                  <m:rPr>
                    <m:nor m:val="on"/>
                  </m:rPr>
                  <m:t> </m:t>
                </m:r>
                <m:r>
                  <w:rPr>
                    <w:rFonts w:ascii="Times New Roman" w:hAnsi="Times New Roman"/>
                    <w:color w:val="000000"/>
                    <w:sz w:val="22"/>
                    <w:szCs w:val="22"/>
                  </w:rPr>
                  <m:rPr>
                    <m:nor m:val="on"/>
                  </m:rPr>
                  <m:t>× 100%</m:t>
                </m:r>
                <m:r>
                  <w:rPr>
                    <w:rFonts w:ascii="Times New Roman" w:hAnsi="Times New Roman" w:eastAsia="Times New Roman"/>
                    <w:sz w:val="22"/>
                    <w:szCs w:val="22"/>
                  </w:rPr>
                  <m:rPr>
                    <m:nor m:val="on"/>
                  </m:rPr>
                  <m:t>, </m:t>
                </m:r>
              </m:oMath>
            </m:oMathPara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  <w:p>
            <w:pPr>
              <w:ind w:firstLine="32"/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</w:rPr>
            </w:r>
          </w:p>
          <w:p>
            <w:pPr>
              <w:ind w:firstLine="32"/>
              <w:jc w:val="both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где:</w:t>
            </w:r>
            <w:r>
              <w:rPr>
                <w:rFonts w:ascii="Times New Roman" w:hAnsi="Times New Roman" w:eastAsia="Times New Roman"/>
              </w:rPr>
              <w:br/>
              <w:t xml:space="preserve"> А – число ППС с учеными степенями и званиями, работающего на штатной основе;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  <w:p>
            <w:pPr>
              <w:ind w:firstLine="32"/>
              <w:jc w:val="both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В – общее количество ППС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ind w:firstLine="32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4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pStyle w:val="714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60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814" w:type="dxa"/>
            <w:textDirection w:val="lrTb"/>
            <w:noWrap w:val="false"/>
          </w:tcPr>
          <w:p>
            <w:pPr>
              <w:pStyle w:val="714"/>
              <w:jc w:val="both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ф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орма федерального статистического наблюдения № ВПО-1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  <w:p>
            <w:pPr>
              <w:pStyle w:val="714"/>
              <w:jc w:val="both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«Сведения об образовательной организации, осуществляющей образовательную деятельность по образовательным программам высшего образования» (утверждена приказом Федеральной службы государственной статистики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 от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18.09.2024 № 419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</w:tbl>
    <w:p>
      <w:pPr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rPr>
          <w:lang w:eastAsia="ru-RU"/>
        </w:rPr>
        <w:sectPr>
          <w:footnotePr/>
          <w:endnotePr/>
          <w:type w:val="nextPage"/>
          <w:pgSz w:w="16838" w:h="11906" w:orient="landscape"/>
          <w:pgMar w:top="1134" w:right="567" w:bottom="1021" w:left="1134" w:header="709" w:footer="709" w:gutter="0"/>
          <w:cols w:num="1" w:sep="0" w:space="708" w:equalWidth="1"/>
          <w:docGrid w:linePitch="360"/>
        </w:sect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87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XII</w:t>
      </w:r>
      <w:r>
        <w:rPr>
          <w:rFonts w:ascii="Times New Roman" w:hAnsi="Times New Roman" w:cs="Times New Roman"/>
          <w:b/>
          <w:sz w:val="28"/>
          <w:szCs w:val="28"/>
        </w:rPr>
        <w:t xml:space="preserve">. Порядок подачи, регистрации и рассмотрения жалоб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7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несоблюдение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b/>
          <w:sz w:val="28"/>
          <w:szCs w:val="28"/>
        </w:rPr>
        <w:t xml:space="preserve">Стандарта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33" w:lineRule="auto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12.1. Жалоба на нарушение порядка предост</w:t>
      </w:r>
      <w:r>
        <w:rPr>
          <w:rFonts w:ascii="Times New Roman" w:hAnsi="Times New Roman"/>
          <w:sz w:val="28"/>
          <w:szCs w:val="28"/>
        </w:rPr>
        <w:t xml:space="preserve">авления государственной услуги </w:t>
      </w:r>
      <w:r>
        <w:rPr>
          <w:rFonts w:ascii="Times New Roman" w:hAnsi="Times New Roman"/>
          <w:sz w:val="28"/>
          <w:szCs w:val="28"/>
        </w:rPr>
        <w:t xml:space="preserve">(далее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жалоба) подается в письменной форме на бумажном носителе </w:t>
      </w:r>
      <w:r>
        <w:rPr>
          <w:rFonts w:ascii="Times New Roman" w:hAnsi="Times New Roman"/>
          <w:sz w:val="28"/>
          <w:szCs w:val="28"/>
        </w:rPr>
        <w:t xml:space="preserve">или</w:t>
      </w:r>
      <w:r>
        <w:rPr>
          <w:rFonts w:ascii="Times New Roman" w:hAnsi="Times New Roman"/>
          <w:sz w:val="28"/>
          <w:szCs w:val="28"/>
        </w:rPr>
        <w:t xml:space="preserve"> в электронной форме в образовательную организацию. Жалоб</w:t>
      </w:r>
      <w:r>
        <w:rPr>
          <w:rFonts w:ascii="Times New Roman" w:hAnsi="Times New Roman"/>
          <w:sz w:val="28"/>
          <w:szCs w:val="28"/>
        </w:rPr>
        <w:t xml:space="preserve">ы</w:t>
      </w:r>
      <w:r>
        <w:rPr>
          <w:rFonts w:ascii="Times New Roman" w:hAnsi="Times New Roman"/>
          <w:sz w:val="28"/>
          <w:szCs w:val="28"/>
        </w:rPr>
        <w:t xml:space="preserve"> на решени</w:t>
      </w:r>
      <w:r>
        <w:rPr>
          <w:rFonts w:ascii="Times New Roman" w:hAnsi="Times New Roman"/>
          <w:sz w:val="28"/>
          <w:szCs w:val="28"/>
        </w:rPr>
        <w:t xml:space="preserve">я и действия (бездействие)</w:t>
      </w:r>
      <w:r>
        <w:rPr>
          <w:rFonts w:ascii="Times New Roman" w:hAnsi="Times New Roman"/>
          <w:sz w:val="28"/>
          <w:szCs w:val="28"/>
        </w:rPr>
        <w:t xml:space="preserve"> руководител</w:t>
      </w:r>
      <w:r>
        <w:rPr>
          <w:rFonts w:ascii="Times New Roman" w:hAnsi="Times New Roman"/>
          <w:sz w:val="28"/>
          <w:szCs w:val="28"/>
        </w:rPr>
        <w:t xml:space="preserve">я</w:t>
      </w:r>
      <w:r>
        <w:rPr>
          <w:rFonts w:ascii="Times New Roman" w:hAnsi="Times New Roman"/>
          <w:sz w:val="28"/>
          <w:szCs w:val="28"/>
        </w:rPr>
        <w:t xml:space="preserve"> образовательной организации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пода</w:t>
      </w:r>
      <w:r>
        <w:rPr>
          <w:rFonts w:ascii="Times New Roman" w:hAnsi="Times New Roman"/>
          <w:sz w:val="28"/>
          <w:szCs w:val="28"/>
        </w:rPr>
        <w:t xml:space="preserve">ю</w:t>
      </w:r>
      <w:r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z w:val="28"/>
          <w:szCs w:val="28"/>
        </w:rPr>
        <w:t xml:space="preserve">получателем государственной услуги в Министерство образования и науки Республики Татарстан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color w:val="ff0000"/>
          <w:sz w:val="28"/>
          <w:szCs w:val="28"/>
        </w:rPr>
      </w:r>
      <w:r>
        <w:rPr>
          <w:rFonts w:ascii="Times New Roman" w:hAnsi="Times New Roman"/>
          <w:color w:val="ff0000"/>
          <w:sz w:val="28"/>
          <w:szCs w:val="28"/>
        </w:rPr>
      </w:r>
    </w:p>
    <w:p>
      <w:pPr>
        <w:ind w:firstLine="709"/>
        <w:jc w:val="both"/>
        <w:spacing w:after="0" w:line="233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12.2. Жалоба </w:t>
      </w:r>
      <w:r>
        <w:rPr>
          <w:rFonts w:ascii="Times New Roman" w:hAnsi="Times New Roman"/>
          <w:sz w:val="28"/>
          <w:szCs w:val="28"/>
        </w:rPr>
        <w:t xml:space="preserve">на решения и действия (бездействие) об</w:t>
      </w:r>
      <w:r>
        <w:rPr>
          <w:rFonts w:ascii="Times New Roman" w:hAnsi="Times New Roman"/>
          <w:sz w:val="28"/>
          <w:szCs w:val="28"/>
        </w:rPr>
        <w:t xml:space="preserve">разовательной организации, руководителя образовательной организации, работника образовательной организации может быть направлена по почте, с использованием информационно-телекоммуникационной сети «Интернет», официального сайта образовательной организации, </w:t>
      </w:r>
      <w:r>
        <w:rPr>
          <w:rFonts w:ascii="Times New Roman" w:hAnsi="Times New Roman"/>
          <w:sz w:val="28"/>
          <w:szCs w:val="28"/>
        </w:rPr>
        <w:t xml:space="preserve">официального сайта Министерства образования и науки Республики Татарстан, единого портала государс</w:t>
      </w:r>
      <w:r>
        <w:rPr>
          <w:rFonts w:ascii="Times New Roman" w:hAnsi="Times New Roman"/>
          <w:sz w:val="28"/>
          <w:szCs w:val="28"/>
        </w:rPr>
        <w:t xml:space="preserve">твенных услуг Российской Федера</w:t>
      </w:r>
      <w:r>
        <w:rPr>
          <w:rFonts w:ascii="Times New Roman" w:hAnsi="Times New Roman"/>
          <w:sz w:val="28"/>
          <w:szCs w:val="28"/>
        </w:rPr>
        <w:t xml:space="preserve">ции (www.gosuslugi.ru), либо портала государственных услуг Республики Татарстан (uslugi.tatarstan.ru), а также может быть принята п</w:t>
      </w:r>
      <w:r>
        <w:rPr>
          <w:rFonts w:ascii="Times New Roman" w:hAnsi="Times New Roman"/>
          <w:sz w:val="28"/>
          <w:szCs w:val="28"/>
        </w:rPr>
        <w:t xml:space="preserve">ри личном приеме получателя гос</w:t>
      </w:r>
      <w:r>
        <w:rPr>
          <w:rFonts w:ascii="Times New Roman" w:hAnsi="Times New Roman"/>
          <w:sz w:val="28"/>
          <w:szCs w:val="28"/>
        </w:rPr>
        <w:t xml:space="preserve">ударственной услуги.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33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12.3. Жалоба </w:t>
      </w:r>
      <w:r>
        <w:rPr>
          <w:rFonts w:ascii="Times New Roman" w:hAnsi="Times New Roman"/>
          <w:sz w:val="28"/>
          <w:szCs w:val="28"/>
        </w:rPr>
        <w:t xml:space="preserve">должна отвечать требованиям, установленным законодательством.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33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12.4. Жалоба </w:t>
      </w:r>
      <w:r>
        <w:rPr>
          <w:rFonts w:ascii="Times New Roman" w:hAnsi="Times New Roman"/>
          <w:sz w:val="28"/>
          <w:szCs w:val="28"/>
        </w:rPr>
        <w:t xml:space="preserve">подлежит рассмотрению долж</w:t>
      </w:r>
      <w:r>
        <w:rPr>
          <w:rFonts w:ascii="Times New Roman" w:hAnsi="Times New Roman"/>
          <w:sz w:val="28"/>
          <w:szCs w:val="28"/>
        </w:rPr>
        <w:t xml:space="preserve">ностным лицом, наделенным полномочиями по рассмотрению жалоб, в течение 15 рабочих дней со дня ее регистрации, а в случае обжалования отказа образовательной организации, должностного лица образовательной организации в приеме документов у получателя услуги </w:t>
      </w:r>
      <w:r>
        <w:rPr>
          <w:rFonts w:ascii="Times New Roman" w:hAnsi="Times New Roman"/>
          <w:sz w:val="28"/>
          <w:szCs w:val="28"/>
        </w:rPr>
        <w:t xml:space="preserve">либо в исправлении допущенных опечаток и ошибок или в случае обжалования нарушения установленного срока таких исправлений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течение </w:t>
      </w:r>
      <w:r>
        <w:rPr>
          <w:rFonts w:ascii="Times New Roman" w:hAnsi="Times New Roman"/>
          <w:sz w:val="28"/>
          <w:szCs w:val="28"/>
        </w:rPr>
        <w:t xml:space="preserve">пяти</w:t>
      </w:r>
      <w:r>
        <w:rPr>
          <w:rFonts w:ascii="Times New Roman" w:hAnsi="Times New Roman"/>
          <w:sz w:val="28"/>
          <w:szCs w:val="28"/>
        </w:rPr>
        <w:t xml:space="preserve"> рабочих дней со дня ее регистрации.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33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. По результатам рассмотрения жалобы </w:t>
      </w:r>
      <w:r>
        <w:rPr>
          <w:rFonts w:ascii="Times New Roman" w:hAnsi="Times New Roman"/>
          <w:sz w:val="28"/>
          <w:szCs w:val="28"/>
        </w:rPr>
        <w:t xml:space="preserve">в соответствии с законодательством при</w:t>
      </w:r>
      <w:r>
        <w:rPr>
          <w:rFonts w:ascii="Times New Roman" w:hAnsi="Times New Roman"/>
          <w:sz w:val="28"/>
          <w:szCs w:val="28"/>
        </w:rPr>
        <w:t xml:space="preserve">нимается решение и не позднее дня, следующего за днем его принятия, получателю государственной услуги в письменной форме и по желанию получателя государственной услуги в электронной форме направляется мотивированный ответ о результатах рассмотрения жалобы.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33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</w:t>
      </w:r>
      <w:r>
        <w:rPr>
          <w:rFonts w:ascii="Times New Roman" w:hAnsi="Times New Roman"/>
          <w:sz w:val="28"/>
          <w:szCs w:val="28"/>
        </w:rPr>
        <w:t xml:space="preserve">6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 случае признания жалобы подлежащей удовлетворению в ответе получателю государственной услуги дается информация о действиях, осуществляемых образовательной организацией, в целях незамедлительного устранения выявленных нарушений при </w:t>
      </w:r>
      <w:r>
        <w:rPr>
          <w:rFonts w:ascii="Times New Roman" w:hAnsi="Times New Roman"/>
          <w:sz w:val="28"/>
          <w:szCs w:val="28"/>
        </w:rPr>
        <w:t xml:space="preserve">предоставлении</w:t>
      </w:r>
      <w:r>
        <w:rPr>
          <w:rFonts w:ascii="Times New Roman" w:hAnsi="Times New Roman"/>
          <w:sz w:val="28"/>
          <w:szCs w:val="28"/>
        </w:rPr>
        <w:t xml:space="preserve"> государственной услуги, а также приносятся извинения за доставленные неудобства и указывается информация о дальнейших действиях, которые необходимо совершить получателю государственной услуги в целях получения государственной услуги.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33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12.7. В случае признания жалобы не подлежащей удовлетворению в ответе получателю государственной услуги даются аргументированные разъяснения о причинах принятого решения, а также информация о порядке обжалования принятого решения.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33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12.8. В случае удовле</w:t>
      </w:r>
      <w:r>
        <w:rPr>
          <w:rFonts w:ascii="Times New Roman" w:hAnsi="Times New Roman"/>
          <w:sz w:val="28"/>
          <w:szCs w:val="28"/>
        </w:rPr>
        <w:t xml:space="preserve">творения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12.9. П</w:t>
      </w:r>
      <w:r>
        <w:rPr>
          <w:rFonts w:ascii="Times New Roman" w:hAnsi="Times New Roman"/>
          <w:sz w:val="28"/>
          <w:szCs w:val="28"/>
        </w:rPr>
        <w:t xml:space="preserve">олучатель государственной услуги вправе обжаловать решения и действия (бездействие) должностных лиц образовательных организаций, связанные с предоставлением государственной услуги, в судебном порядке в соответствии с законодательством Российской Федерации.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3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</w:r>
      <w:r>
        <w:rPr>
          <w:rFonts w:ascii="Times New Roman" w:hAnsi="Times New Roman" w:cs="Times New Roman"/>
          <w:color w:val="ff0000"/>
          <w:sz w:val="28"/>
          <w:szCs w:val="28"/>
        </w:rPr>
      </w:r>
      <w:r>
        <w:rPr>
          <w:rFonts w:ascii="Times New Roman" w:hAnsi="Times New Roman" w:cs="Times New Roman"/>
          <w:color w:val="ff0000"/>
          <w:sz w:val="28"/>
          <w:szCs w:val="28"/>
        </w:rPr>
      </w:r>
    </w:p>
    <w:p>
      <w:pPr>
        <w:pStyle w:val="87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XIII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Порядок контроля за предоставлением государственной услуги со стороны органов государственной власти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7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13.1. Контроль за соблюдением образовательной организацией </w:t>
      </w:r>
      <w:r>
        <w:rPr>
          <w:rFonts w:ascii="Times New Roman" w:hAnsi="Times New Roman" w:cs="Times New Roman"/>
          <w:sz w:val="28"/>
          <w:szCs w:val="28"/>
        </w:rPr>
        <w:t xml:space="preserve">независимо от ее организационно-правовой формы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предусмотренных лицензией </w:t>
      </w:r>
      <w:r>
        <w:rPr>
          <w:rFonts w:ascii="Times New Roman" w:hAnsi="Times New Roman" w:cs="Times New Roman"/>
          <w:sz w:val="28"/>
          <w:szCs w:val="28"/>
        </w:rPr>
        <w:t xml:space="preserve">условий </w:t>
      </w:r>
      <w:r>
        <w:rPr>
          <w:rFonts w:ascii="Times New Roman" w:hAnsi="Times New Roman" w:cs="Times New Roman"/>
          <w:sz w:val="28"/>
          <w:szCs w:val="28"/>
        </w:rPr>
        <w:t xml:space="preserve">обеспечивает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государственный орган управления образованием, выдавший лицензию. В случае нарушения этих условий лицензия подлежит изъятию.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13.2.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Государственная аттестационная служба мож</w:t>
      </w:r>
      <w:r>
        <w:rPr>
          <w:rFonts w:ascii="Times New Roman" w:hAnsi="Times New Roman" w:cs="Times New Roman"/>
          <w:sz w:val="28"/>
          <w:szCs w:val="28"/>
        </w:rPr>
        <w:t xml:space="preserve">ет направить образовательной организации, имеющей государственную аккредитацию, рекламацию на качество образования и (или) несоответствие образования требованиям соответствующего федерального государственного образовательного стандарта высшего образования.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13.3. </w:t>
      </w:r>
      <w:r>
        <w:rPr>
          <w:rFonts w:ascii="Times New Roman" w:hAnsi="Times New Roman" w:cs="Times New Roman"/>
          <w:sz w:val="28"/>
          <w:szCs w:val="28"/>
        </w:rPr>
        <w:t xml:space="preserve">Контроль за предоставлением государственной услуги со стороны органов государственной власти осуществляется в соответствии с </w:t>
      </w:r>
      <w:hyperlink r:id="rId13" w:tooltip="consultantplus://offline/ref=5948FCC1EAA9EC899B0F1DF4E12881279662199E534A15D450CDA8942C3ABE4ADAqFM" w:history="1">
        <w:r>
          <w:rPr>
            <w:rFonts w:ascii="Times New Roman" w:hAnsi="Times New Roman" w:cs="Times New Roman"/>
            <w:sz w:val="28"/>
            <w:szCs w:val="28"/>
          </w:rPr>
          <w:t xml:space="preserve"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Кабинета Министров Респуб</w:t>
      </w:r>
      <w:r>
        <w:rPr>
          <w:rFonts w:ascii="Times New Roman" w:hAnsi="Times New Roman" w:cs="Times New Roman"/>
          <w:sz w:val="28"/>
          <w:szCs w:val="28"/>
        </w:rPr>
        <w:t xml:space="preserve">лики Татарстан от 30.06.2009 № 446 «О Порядке проведения оценки соответствия качества фактически предоставляемых государственных услуг установленным стандартам качества государственных услуг, оказываемых государственными учреждениями Республики Татарстан».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XIV</w:t>
      </w:r>
      <w:r>
        <w:rPr>
          <w:rFonts w:ascii="Times New Roman" w:hAnsi="Times New Roman" w:cs="Times New Roman"/>
          <w:b/>
          <w:sz w:val="28"/>
          <w:szCs w:val="28"/>
        </w:rPr>
        <w:t xml:space="preserve">. Информация о предоставлении государственной услуги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7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плату или бесплатно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7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Государственная услуга предоставляется бесплатно.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567" w:bottom="113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Times New Roman CYR">
    <w:panose1 w:val="020206030504050203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6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 xml:space="preserve">27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</w:r>
    <w:r>
      <w:rPr>
        <w:rFonts w:ascii="Times New Roman" w:hAnsi="Times New Roman"/>
        <w:sz w:val="28"/>
        <w:szCs w:val="28"/>
      </w:rPr>
    </w:r>
  </w:p>
  <w:p>
    <w:pPr>
      <w:pStyle w:val="876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6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eastAsia="Calibri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800" w:hanging="72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6">
    <w:name w:val="Heading 1"/>
    <w:basedOn w:val="869"/>
    <w:next w:val="869"/>
    <w:link w:val="69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7">
    <w:name w:val="Heading 1 Char"/>
    <w:basedOn w:val="870"/>
    <w:link w:val="696"/>
    <w:uiPriority w:val="9"/>
    <w:rPr>
      <w:rFonts w:ascii="Arial" w:hAnsi="Arial" w:eastAsia="Arial" w:cs="Arial"/>
      <w:sz w:val="40"/>
      <w:szCs w:val="40"/>
    </w:rPr>
  </w:style>
  <w:style w:type="paragraph" w:styleId="698">
    <w:name w:val="Heading 2"/>
    <w:basedOn w:val="869"/>
    <w:next w:val="869"/>
    <w:link w:val="69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9">
    <w:name w:val="Heading 2 Char"/>
    <w:basedOn w:val="870"/>
    <w:link w:val="698"/>
    <w:uiPriority w:val="9"/>
    <w:rPr>
      <w:rFonts w:ascii="Arial" w:hAnsi="Arial" w:eastAsia="Arial" w:cs="Arial"/>
      <w:sz w:val="34"/>
    </w:rPr>
  </w:style>
  <w:style w:type="paragraph" w:styleId="700">
    <w:name w:val="Heading 3"/>
    <w:basedOn w:val="869"/>
    <w:next w:val="869"/>
    <w:link w:val="70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1">
    <w:name w:val="Heading 3 Char"/>
    <w:basedOn w:val="870"/>
    <w:link w:val="700"/>
    <w:uiPriority w:val="9"/>
    <w:rPr>
      <w:rFonts w:ascii="Arial" w:hAnsi="Arial" w:eastAsia="Arial" w:cs="Arial"/>
      <w:sz w:val="30"/>
      <w:szCs w:val="30"/>
    </w:rPr>
  </w:style>
  <w:style w:type="paragraph" w:styleId="702">
    <w:name w:val="Heading 4"/>
    <w:basedOn w:val="869"/>
    <w:next w:val="869"/>
    <w:link w:val="70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3">
    <w:name w:val="Heading 4 Char"/>
    <w:basedOn w:val="870"/>
    <w:link w:val="702"/>
    <w:uiPriority w:val="9"/>
    <w:rPr>
      <w:rFonts w:ascii="Arial" w:hAnsi="Arial" w:eastAsia="Arial" w:cs="Arial"/>
      <w:b/>
      <w:bCs/>
      <w:sz w:val="26"/>
      <w:szCs w:val="26"/>
    </w:rPr>
  </w:style>
  <w:style w:type="paragraph" w:styleId="704">
    <w:name w:val="Heading 5"/>
    <w:basedOn w:val="869"/>
    <w:next w:val="869"/>
    <w:link w:val="70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5">
    <w:name w:val="Heading 5 Char"/>
    <w:basedOn w:val="870"/>
    <w:link w:val="704"/>
    <w:uiPriority w:val="9"/>
    <w:rPr>
      <w:rFonts w:ascii="Arial" w:hAnsi="Arial" w:eastAsia="Arial" w:cs="Arial"/>
      <w:b/>
      <w:bCs/>
      <w:sz w:val="24"/>
      <w:szCs w:val="24"/>
    </w:rPr>
  </w:style>
  <w:style w:type="paragraph" w:styleId="706">
    <w:name w:val="Heading 6"/>
    <w:basedOn w:val="869"/>
    <w:next w:val="869"/>
    <w:link w:val="70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7">
    <w:name w:val="Heading 6 Char"/>
    <w:basedOn w:val="870"/>
    <w:link w:val="706"/>
    <w:uiPriority w:val="9"/>
    <w:rPr>
      <w:rFonts w:ascii="Arial" w:hAnsi="Arial" w:eastAsia="Arial" w:cs="Arial"/>
      <w:b/>
      <w:bCs/>
      <w:sz w:val="22"/>
      <w:szCs w:val="22"/>
    </w:rPr>
  </w:style>
  <w:style w:type="paragraph" w:styleId="708">
    <w:name w:val="Heading 7"/>
    <w:basedOn w:val="869"/>
    <w:next w:val="869"/>
    <w:link w:val="70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9">
    <w:name w:val="Heading 7 Char"/>
    <w:basedOn w:val="870"/>
    <w:link w:val="70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0">
    <w:name w:val="Heading 8"/>
    <w:basedOn w:val="869"/>
    <w:next w:val="869"/>
    <w:link w:val="71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1">
    <w:name w:val="Heading 8 Char"/>
    <w:basedOn w:val="870"/>
    <w:link w:val="710"/>
    <w:uiPriority w:val="9"/>
    <w:rPr>
      <w:rFonts w:ascii="Arial" w:hAnsi="Arial" w:eastAsia="Arial" w:cs="Arial"/>
      <w:i/>
      <w:iCs/>
      <w:sz w:val="22"/>
      <w:szCs w:val="22"/>
    </w:rPr>
  </w:style>
  <w:style w:type="paragraph" w:styleId="712">
    <w:name w:val="Heading 9"/>
    <w:basedOn w:val="869"/>
    <w:next w:val="869"/>
    <w:link w:val="71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3">
    <w:name w:val="Heading 9 Char"/>
    <w:basedOn w:val="870"/>
    <w:link w:val="712"/>
    <w:uiPriority w:val="9"/>
    <w:rPr>
      <w:rFonts w:ascii="Arial" w:hAnsi="Arial" w:eastAsia="Arial" w:cs="Arial"/>
      <w:i/>
      <w:iCs/>
      <w:sz w:val="21"/>
      <w:szCs w:val="21"/>
    </w:rPr>
  </w:style>
  <w:style w:type="paragraph" w:styleId="714">
    <w:name w:val="No Spacing"/>
    <w:uiPriority w:val="1"/>
    <w:qFormat/>
    <w:pPr>
      <w:spacing w:before="0" w:after="0" w:line="240" w:lineRule="auto"/>
    </w:pPr>
  </w:style>
  <w:style w:type="paragraph" w:styleId="715">
    <w:name w:val="Title"/>
    <w:basedOn w:val="869"/>
    <w:next w:val="869"/>
    <w:link w:val="71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6">
    <w:name w:val="Title Char"/>
    <w:basedOn w:val="870"/>
    <w:link w:val="715"/>
    <w:uiPriority w:val="10"/>
    <w:rPr>
      <w:sz w:val="48"/>
      <w:szCs w:val="48"/>
    </w:rPr>
  </w:style>
  <w:style w:type="paragraph" w:styleId="717">
    <w:name w:val="Subtitle"/>
    <w:basedOn w:val="869"/>
    <w:next w:val="869"/>
    <w:link w:val="718"/>
    <w:uiPriority w:val="11"/>
    <w:qFormat/>
    <w:pPr>
      <w:spacing w:before="200" w:after="200"/>
    </w:pPr>
    <w:rPr>
      <w:sz w:val="24"/>
      <w:szCs w:val="24"/>
    </w:rPr>
  </w:style>
  <w:style w:type="character" w:styleId="718">
    <w:name w:val="Subtitle Char"/>
    <w:basedOn w:val="870"/>
    <w:link w:val="717"/>
    <w:uiPriority w:val="11"/>
    <w:rPr>
      <w:sz w:val="24"/>
      <w:szCs w:val="24"/>
    </w:rPr>
  </w:style>
  <w:style w:type="paragraph" w:styleId="719">
    <w:name w:val="Quote"/>
    <w:basedOn w:val="869"/>
    <w:next w:val="869"/>
    <w:link w:val="720"/>
    <w:uiPriority w:val="29"/>
    <w:qFormat/>
    <w:pPr>
      <w:ind w:left="720" w:right="720"/>
    </w:pPr>
    <w:rPr>
      <w:i/>
    </w:rPr>
  </w:style>
  <w:style w:type="character" w:styleId="720">
    <w:name w:val="Quote Char"/>
    <w:link w:val="719"/>
    <w:uiPriority w:val="29"/>
    <w:rPr>
      <w:i/>
    </w:rPr>
  </w:style>
  <w:style w:type="paragraph" w:styleId="721">
    <w:name w:val="Intense Quote"/>
    <w:basedOn w:val="869"/>
    <w:next w:val="869"/>
    <w:link w:val="72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2">
    <w:name w:val="Intense Quote Char"/>
    <w:link w:val="721"/>
    <w:uiPriority w:val="30"/>
    <w:rPr>
      <w:i/>
    </w:rPr>
  </w:style>
  <w:style w:type="character" w:styleId="723">
    <w:name w:val="Header Char"/>
    <w:basedOn w:val="870"/>
    <w:link w:val="876"/>
    <w:uiPriority w:val="99"/>
  </w:style>
  <w:style w:type="character" w:styleId="724">
    <w:name w:val="Footer Char"/>
    <w:basedOn w:val="870"/>
    <w:link w:val="888"/>
    <w:uiPriority w:val="99"/>
  </w:style>
  <w:style w:type="paragraph" w:styleId="725">
    <w:name w:val="Caption"/>
    <w:basedOn w:val="869"/>
    <w:next w:val="86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6">
    <w:name w:val="Caption Char"/>
    <w:basedOn w:val="725"/>
    <w:link w:val="888"/>
    <w:uiPriority w:val="99"/>
  </w:style>
  <w:style w:type="table" w:styleId="727">
    <w:name w:val="Table Grid Light"/>
    <w:basedOn w:val="87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>
    <w:name w:val="Plain Table 1"/>
    <w:basedOn w:val="87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>
    <w:name w:val="Plain Table 2"/>
    <w:basedOn w:val="87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>
    <w:name w:val="Plain Table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1">
    <w:name w:val="Plain Table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Plain Table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3">
    <w:name w:val="Grid Table 1 Light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4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5">
    <w:name w:val="Grid Table 4 - Accent 1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6">
    <w:name w:val="Grid Table 4 - Accent 2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7">
    <w:name w:val="Grid Table 4 - Accent 3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8">
    <w:name w:val="Grid Table 4 - Accent 4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9">
    <w:name w:val="Grid Table 4 - Accent 5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0">
    <w:name w:val="Grid Table 4 - Accent 6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1">
    <w:name w:val="Grid Table 5 Dark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2">
    <w:name w:val="Grid Table 5 Dark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65">
    <w:name w:val="Grid Table 5 Dark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68">
    <w:name w:val="Grid Table 6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9">
    <w:name w:val="Grid Table 6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0">
    <w:name w:val="Grid Table 6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1">
    <w:name w:val="Grid Table 6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2">
    <w:name w:val="Grid Table 6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3">
    <w:name w:val="Grid Table 6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4">
    <w:name w:val="Grid Table 6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5">
    <w:name w:val="Grid Table 7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0">
    <w:name w:val="List Table 2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1">
    <w:name w:val="List Table 2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2">
    <w:name w:val="List Table 2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3">
    <w:name w:val="List Table 2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4">
    <w:name w:val="List Table 2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5">
    <w:name w:val="List Table 2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6">
    <w:name w:val="List Table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5 Dark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6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8">
    <w:name w:val="List Table 6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9">
    <w:name w:val="List Table 6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0">
    <w:name w:val="List Table 6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1">
    <w:name w:val="List Table 6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2">
    <w:name w:val="List Table 6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3">
    <w:name w:val="List Table 6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4">
    <w:name w:val="List Table 7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5">
    <w:name w:val="List Table 7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26">
    <w:name w:val="List Table 7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27">
    <w:name w:val="List Table 7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28">
    <w:name w:val="List Table 7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29">
    <w:name w:val="List Table 7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30">
    <w:name w:val="List Table 7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31">
    <w:name w:val="Lined - Accent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2">
    <w:name w:val="Lined - Accent 1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3">
    <w:name w:val="Lined - Accent 2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4">
    <w:name w:val="Lined - Accent 3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5">
    <w:name w:val="Lined - Accent 4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36">
    <w:name w:val="Lined - Accent 5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37">
    <w:name w:val="Lined - Accent 6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8">
    <w:name w:val="Bordered &amp; Lined - Accent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9">
    <w:name w:val="Bordered &amp; Lined - Accent 1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40">
    <w:name w:val="Bordered &amp; Lined - Accent 2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1">
    <w:name w:val="Bordered &amp; Lined - Accent 3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2">
    <w:name w:val="Bordered &amp; Lined - Accent 4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3">
    <w:name w:val="Bordered &amp; Lined - Accent 5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44">
    <w:name w:val="Bordered &amp; Lined - Accent 6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5">
    <w:name w:val="Bordered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6">
    <w:name w:val="Bordered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7">
    <w:name w:val="Bordered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8">
    <w:name w:val="Bordered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9">
    <w:name w:val="Bordered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0">
    <w:name w:val="Bordered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1">
    <w:name w:val="Bordered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52">
    <w:name w:val="footnote text"/>
    <w:basedOn w:val="869"/>
    <w:link w:val="853"/>
    <w:uiPriority w:val="99"/>
    <w:semiHidden/>
    <w:unhideWhenUsed/>
    <w:pPr>
      <w:spacing w:after="40" w:line="240" w:lineRule="auto"/>
    </w:pPr>
    <w:rPr>
      <w:sz w:val="18"/>
    </w:rPr>
  </w:style>
  <w:style w:type="character" w:styleId="853">
    <w:name w:val="Footnote Text Char"/>
    <w:link w:val="852"/>
    <w:uiPriority w:val="99"/>
    <w:rPr>
      <w:sz w:val="18"/>
    </w:rPr>
  </w:style>
  <w:style w:type="character" w:styleId="854">
    <w:name w:val="footnote reference"/>
    <w:basedOn w:val="870"/>
    <w:uiPriority w:val="99"/>
    <w:unhideWhenUsed/>
    <w:rPr>
      <w:vertAlign w:val="superscript"/>
    </w:rPr>
  </w:style>
  <w:style w:type="paragraph" w:styleId="855">
    <w:name w:val="endnote text"/>
    <w:basedOn w:val="869"/>
    <w:link w:val="856"/>
    <w:uiPriority w:val="99"/>
    <w:semiHidden/>
    <w:unhideWhenUsed/>
    <w:pPr>
      <w:spacing w:after="0" w:line="240" w:lineRule="auto"/>
    </w:pPr>
    <w:rPr>
      <w:sz w:val="20"/>
    </w:rPr>
  </w:style>
  <w:style w:type="character" w:styleId="856">
    <w:name w:val="Endnote Text Char"/>
    <w:link w:val="855"/>
    <w:uiPriority w:val="99"/>
    <w:rPr>
      <w:sz w:val="20"/>
    </w:rPr>
  </w:style>
  <w:style w:type="character" w:styleId="857">
    <w:name w:val="endnote reference"/>
    <w:basedOn w:val="870"/>
    <w:uiPriority w:val="99"/>
    <w:semiHidden/>
    <w:unhideWhenUsed/>
    <w:rPr>
      <w:vertAlign w:val="superscript"/>
    </w:rPr>
  </w:style>
  <w:style w:type="paragraph" w:styleId="858">
    <w:name w:val="toc 1"/>
    <w:basedOn w:val="869"/>
    <w:next w:val="869"/>
    <w:uiPriority w:val="39"/>
    <w:unhideWhenUsed/>
    <w:pPr>
      <w:ind w:left="0" w:right="0" w:firstLine="0"/>
      <w:spacing w:after="57"/>
    </w:pPr>
  </w:style>
  <w:style w:type="paragraph" w:styleId="859">
    <w:name w:val="toc 2"/>
    <w:basedOn w:val="869"/>
    <w:next w:val="869"/>
    <w:uiPriority w:val="39"/>
    <w:unhideWhenUsed/>
    <w:pPr>
      <w:ind w:left="283" w:right="0" w:firstLine="0"/>
      <w:spacing w:after="57"/>
    </w:pPr>
  </w:style>
  <w:style w:type="paragraph" w:styleId="860">
    <w:name w:val="toc 3"/>
    <w:basedOn w:val="869"/>
    <w:next w:val="869"/>
    <w:uiPriority w:val="39"/>
    <w:unhideWhenUsed/>
    <w:pPr>
      <w:ind w:left="567" w:right="0" w:firstLine="0"/>
      <w:spacing w:after="57"/>
    </w:pPr>
  </w:style>
  <w:style w:type="paragraph" w:styleId="861">
    <w:name w:val="toc 4"/>
    <w:basedOn w:val="869"/>
    <w:next w:val="869"/>
    <w:uiPriority w:val="39"/>
    <w:unhideWhenUsed/>
    <w:pPr>
      <w:ind w:left="850" w:right="0" w:firstLine="0"/>
      <w:spacing w:after="57"/>
    </w:pPr>
  </w:style>
  <w:style w:type="paragraph" w:styleId="862">
    <w:name w:val="toc 5"/>
    <w:basedOn w:val="869"/>
    <w:next w:val="869"/>
    <w:uiPriority w:val="39"/>
    <w:unhideWhenUsed/>
    <w:pPr>
      <w:ind w:left="1134" w:right="0" w:firstLine="0"/>
      <w:spacing w:after="57"/>
    </w:pPr>
  </w:style>
  <w:style w:type="paragraph" w:styleId="863">
    <w:name w:val="toc 6"/>
    <w:basedOn w:val="869"/>
    <w:next w:val="869"/>
    <w:uiPriority w:val="39"/>
    <w:unhideWhenUsed/>
    <w:pPr>
      <w:ind w:left="1417" w:right="0" w:firstLine="0"/>
      <w:spacing w:after="57"/>
    </w:pPr>
  </w:style>
  <w:style w:type="paragraph" w:styleId="864">
    <w:name w:val="toc 7"/>
    <w:basedOn w:val="869"/>
    <w:next w:val="869"/>
    <w:uiPriority w:val="39"/>
    <w:unhideWhenUsed/>
    <w:pPr>
      <w:ind w:left="1701" w:right="0" w:firstLine="0"/>
      <w:spacing w:after="57"/>
    </w:pPr>
  </w:style>
  <w:style w:type="paragraph" w:styleId="865">
    <w:name w:val="toc 8"/>
    <w:basedOn w:val="869"/>
    <w:next w:val="869"/>
    <w:uiPriority w:val="39"/>
    <w:unhideWhenUsed/>
    <w:pPr>
      <w:ind w:left="1984" w:right="0" w:firstLine="0"/>
      <w:spacing w:after="57"/>
    </w:pPr>
  </w:style>
  <w:style w:type="paragraph" w:styleId="866">
    <w:name w:val="toc 9"/>
    <w:basedOn w:val="869"/>
    <w:next w:val="869"/>
    <w:uiPriority w:val="39"/>
    <w:unhideWhenUsed/>
    <w:pPr>
      <w:ind w:left="2268" w:right="0" w:firstLine="0"/>
      <w:spacing w:after="57"/>
    </w:pPr>
  </w:style>
  <w:style w:type="paragraph" w:styleId="867">
    <w:name w:val="TOC Heading"/>
    <w:uiPriority w:val="39"/>
    <w:unhideWhenUsed/>
  </w:style>
  <w:style w:type="paragraph" w:styleId="868">
    <w:name w:val="table of figures"/>
    <w:basedOn w:val="869"/>
    <w:next w:val="869"/>
    <w:uiPriority w:val="99"/>
    <w:unhideWhenUsed/>
    <w:pPr>
      <w:spacing w:after="0" w:afterAutospacing="0"/>
    </w:pPr>
  </w:style>
  <w:style w:type="paragraph" w:styleId="869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870" w:default="1">
    <w:name w:val="Default Paragraph Font"/>
    <w:uiPriority w:val="1"/>
    <w:semiHidden/>
    <w:unhideWhenUsed/>
  </w:style>
  <w:style w:type="table" w:styleId="87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2" w:default="1">
    <w:name w:val="No List"/>
    <w:uiPriority w:val="99"/>
    <w:semiHidden/>
    <w:unhideWhenUsed/>
  </w:style>
  <w:style w:type="paragraph" w:styleId="873" w:customStyle="1">
    <w:name w:val="ConsPlusNormal"/>
    <w:pPr>
      <w:widowControl w:val="off"/>
    </w:pPr>
    <w:rPr>
      <w:rFonts w:eastAsia="Times New Roman" w:cs="Calibri"/>
      <w:sz w:val="22"/>
    </w:rPr>
  </w:style>
  <w:style w:type="paragraph" w:styleId="874" w:customStyle="1">
    <w:name w:val="ConsPlusTitlePage"/>
    <w:pPr>
      <w:widowControl w:val="off"/>
    </w:pPr>
    <w:rPr>
      <w:rFonts w:ascii="Tahoma" w:hAnsi="Tahoma" w:eastAsia="Times New Roman" w:cs="Tahoma"/>
    </w:rPr>
  </w:style>
  <w:style w:type="table" w:styleId="875">
    <w:name w:val="Table Grid"/>
    <w:basedOn w:val="871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76">
    <w:name w:val="Header"/>
    <w:basedOn w:val="869"/>
    <w:link w:val="87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77" w:customStyle="1">
    <w:name w:val="Верхний колонтитул Знак"/>
    <w:link w:val="876"/>
    <w:uiPriority w:val="99"/>
    <w:rPr>
      <w:rFonts w:ascii="Calibri" w:hAnsi="Calibri" w:eastAsia="Calibri" w:cs="Times New Roman"/>
    </w:rPr>
  </w:style>
  <w:style w:type="paragraph" w:styleId="878">
    <w:name w:val="Balloon Text"/>
    <w:basedOn w:val="869"/>
    <w:link w:val="87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79" w:customStyle="1">
    <w:name w:val="Текст выноски Знак"/>
    <w:link w:val="878"/>
    <w:uiPriority w:val="99"/>
    <w:semiHidden/>
    <w:rPr>
      <w:rFonts w:ascii="Tahoma" w:hAnsi="Tahoma" w:eastAsia="Calibri" w:cs="Tahoma"/>
      <w:sz w:val="16"/>
      <w:szCs w:val="16"/>
    </w:rPr>
  </w:style>
  <w:style w:type="paragraph" w:styleId="880" w:customStyle="1">
    <w:name w:val="ConsPlusCell"/>
    <w:uiPriority w:val="99"/>
    <w:pPr>
      <w:widowControl w:val="off"/>
    </w:pPr>
    <w:rPr>
      <w:rFonts w:ascii="Times New Roman" w:hAnsi="Times New Roman" w:eastAsia="Times New Roman"/>
      <w:sz w:val="28"/>
      <w:szCs w:val="28"/>
    </w:rPr>
  </w:style>
  <w:style w:type="paragraph" w:styleId="881">
    <w:name w:val="List Paragraph"/>
    <w:basedOn w:val="869"/>
    <w:uiPriority w:val="34"/>
    <w:qFormat/>
    <w:pPr>
      <w:contextualSpacing/>
      <w:ind w:left="720"/>
    </w:pPr>
  </w:style>
  <w:style w:type="table" w:styleId="882" w:customStyle="1">
    <w:name w:val="Сетка таблицы1"/>
    <w:basedOn w:val="871"/>
    <w:next w:val="875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883" w:customStyle="1">
    <w:name w:val="Нет списка1"/>
    <w:next w:val="872"/>
    <w:uiPriority w:val="99"/>
    <w:semiHidden/>
    <w:unhideWhenUsed/>
  </w:style>
  <w:style w:type="table" w:styleId="884" w:customStyle="1">
    <w:name w:val="Сетка таблицы2"/>
    <w:basedOn w:val="871"/>
    <w:next w:val="875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85" w:customStyle="1">
    <w:name w:val="Сетка таблицы3"/>
    <w:basedOn w:val="871"/>
    <w:next w:val="875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86">
    <w:name w:val="Hyperlink"/>
    <w:uiPriority w:val="99"/>
    <w:unhideWhenUsed/>
    <w:rPr>
      <w:color w:val="0000ff"/>
      <w:u w:val="single"/>
    </w:rPr>
  </w:style>
  <w:style w:type="table" w:styleId="887" w:customStyle="1">
    <w:name w:val="Сетка таблицы4"/>
    <w:basedOn w:val="871"/>
    <w:next w:val="875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88">
    <w:name w:val="Footer"/>
    <w:basedOn w:val="869"/>
    <w:link w:val="88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9" w:customStyle="1">
    <w:name w:val="Нижний колонтитул Знак"/>
    <w:link w:val="888"/>
    <w:uiPriority w:val="99"/>
    <w:rPr>
      <w:sz w:val="22"/>
      <w:szCs w:val="22"/>
      <w:lang w:eastAsia="en-US"/>
    </w:rPr>
  </w:style>
  <w:style w:type="character" w:styleId="890">
    <w:name w:val="Placeholder Text"/>
    <w:basedOn w:val="870"/>
    <w:uiPriority w:val="99"/>
    <w:semiHidden/>
    <w:rPr>
      <w:color w:val="80808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hyperlink" Target="consultantplus://offline/ref=DEE7102FDBEFEF8DD62882B517E893604B51F79CB393FEA70D6A5FTAKBF" TargetMode="External"/><Relationship Id="rId13" Type="http://schemas.openxmlformats.org/officeDocument/2006/relationships/hyperlink" Target="consultantplus://offline/ref=5948FCC1EAA9EC899B0F1DF4E12881279662199E534A15D450CDA8942C3ABE4ADAqFM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DB820-1C66-4026-B5AD-D93C90DE4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revision>8</cp:revision>
  <dcterms:created xsi:type="dcterms:W3CDTF">2020-04-22T12:53:00Z</dcterms:created>
  <dcterms:modified xsi:type="dcterms:W3CDTF">2025-05-07T07:49:52Z</dcterms:modified>
</cp:coreProperties>
</file>