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ind w:right="538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right="5719" w:hanging="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>
        <w:rPr>
          <w:sz w:val="28"/>
          <w:szCs w:val="28"/>
        </w:rPr>
        <w:t>состав данных и периодичность их представления для мониторинга индикаторов в составе задания на управление республиканским органам исполнительной власти, отдельным государственным учреждениям Республики Татарстан, утвержденный постановлением Кабинета Министров Республики Татарстан от 21.06.2022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592 «Об утверждении состава данных и периодичности их представления для мониторинга индикаторов в составе задания на управление республиканским органам исполнительной власти, отдельным государственным учреждениям Республики Татарстан»</w:t>
      </w:r>
    </w:p>
    <w:p>
      <w:pPr>
        <w:pStyle w:val="Normal"/>
        <w:widowControl w:val="false"/>
        <w:tabs>
          <w:tab w:val="clear" w:pos="708"/>
          <w:tab w:val="left" w:pos="4820" w:leader="none"/>
        </w:tabs>
        <w:ind w:right="4251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ind w:right="-716" w:firstLine="709"/>
        <w:jc w:val="both"/>
        <w:rPr>
          <w:sz w:val="28"/>
        </w:rPr>
      </w:pPr>
      <w:r>
        <w:rPr>
          <w:sz w:val="28"/>
        </w:rPr>
        <w:t>Кабинет Министров Республики Татарстан ПОСТАНОВЛЯЕТ:</w:t>
      </w:r>
    </w:p>
    <w:p>
      <w:pPr>
        <w:pStyle w:val="Normal"/>
        <w:widowControl w:val="false"/>
        <w:ind w:right="-716" w:firstLine="709"/>
        <w:jc w:val="both"/>
        <w:rPr>
          <w:sz w:val="28"/>
        </w:rPr>
      </w:pPr>
      <w:r>
        <w:rPr>
          <w:sz w:val="28"/>
        </w:rPr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Внести в состав данных и периодичность их представления для мониторинга индикаторов в составе задания на управление республиканским органам исполнительной власти, отдельным государственным учреждениям Республики Татарстан, утвержденный постановлением Кабинета Министров Республики Татарстан от 21.06.2022 № 592 «Об утверждении состава данных и периодичности их представления для мониторинга индикаторов в составе задания на управление республиканским органам исполнительной власти, отдельным государственным учреждениям Республики Татарстан» (с изменениями, внесенными постановлениями Кабинета Министров Республики Татарстан от 16.12.2022 № 1346, от 02.05.2023 № 558, от 28.06.2023 № 758, от 23.11.2023 № 1499, от 07.05.2024 № 314), следующие изменения: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разделе «Министерство здравоохранения Республики Татарстан»:</w:t>
      </w:r>
    </w:p>
    <w:p>
      <w:pPr>
        <w:sectPr>
          <w:type w:val="nextPage"/>
          <w:pgSz w:w="11906" w:h="16838"/>
          <w:pgMar w:left="1134" w:right="567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графу 4 пункта 1 подраздела «Социально-экономическое программирование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(01.01)»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«Методика расчета индикатора утверждена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8"/>
          <w:szCs w:val="28"/>
        </w:rPr>
        <w:t>28 января 2025 г. № 58 «Об утверждении методик расчета показателей для оценки эффективности деятельности высших</w:t>
        <w:br/>
        <w:t>должностных лиц субъектов Российской Федерации и деятельности</w:t>
        <w:br/>
        <w:t>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подразделе «Управление здравоохранением (04.02)»: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 3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пункты 5 и 6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50"/>
        <w:gridCol w:w="3122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врачами,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тыс.населения,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N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10000</m:t>
              </m:r>
            </m:oMath>
            <w:r>
              <w:rPr>
                <w:rFonts w:cs="Times New Roman"/>
                <w:sz w:val="24"/>
              </w:rPr>
              <w:t>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sz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sz w:val="24"/>
                <w:szCs w:val="24"/>
              </w:rPr>
              <w:t>A – число физических лиц врачей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(программы государственных гарантий бесплатного оказания гражданам медицинской помощи) на конец отчетного периода, человек;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N – численность постоянного населения субъекта Российской Федерации на начало года, следующего за отчетным, человек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15 апреля)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средними медицинскими работниками, работающими в медицинских организациях, участвующих в реализации программы государственных гарантий бесплатного оказания гражданам медицинской помощи, на 10 тыс.населения, человек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N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10000</m:t>
              </m:r>
            </m:oMath>
            <w:r>
              <w:rPr>
                <w:rFonts w:cs="Times New Roman"/>
                <w:sz w:val="24"/>
              </w:rPr>
              <w:t>,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sz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sz w:val="24"/>
                <w:szCs w:val="24"/>
              </w:rPr>
              <w:t>A – число физических лиц средних медицинских работников в медицинских организациях, участвующих в реализации территориальной программы государственных гарантий бесплатного оказания гражданам медицинской помощи (программы государственных гарантий бесплатного оказания гражданам медицинской помощи) на конец отчетного периода, человек;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N – численность постоянного населения субъекта Российской Федерации на начало года, следующего за отчетным, человек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15 апреля)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Министерство здравоохранения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  <w:t xml:space="preserve">в подразделе «Управление имуществом и земельными ресурсами, находящимися в собственности Республики Татарстан (01.07) раздела «Министерство земельных и имущественных отношений Республики Татарстан»: 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  <w:t>графу 3 пункта 2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  <w:t>«годовая»;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  <w:t>пункт 3 признать утратившим силу;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Calibri" w:ascii="Times New Roman" w:hAnsi="Times New Roman"/>
          <w:sz w:val="28"/>
          <w:szCs w:val="28"/>
          <w:shd w:fill="auto" w:val="clear"/>
        </w:rPr>
        <w:t>в разделе «Министерство культуры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  <w:t>подраздел «Регулирование отношений в области культуры (в том числе искусства, кинематографии, охраны и использования историко-культурного наследия), содействие укреплению взаимопонимания и терпимости между религиозными объединениями различных вероисповеданий (04.03)»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sz w:val="28"/>
          <w:szCs w:val="28"/>
        </w:rPr>
      </w:pPr>
      <w:r>
        <w:rPr>
          <w:rFonts w:eastAsia="Times New Roman" w:cs="Calibri"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50"/>
        <w:gridCol w:w="3122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Уровень удовлетворенности граждан работой государственных и муниципальных организаций культуры, искусства и народного творчества,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Методика расчета индикатора утверждена приказом Министерства культуры РФ от 27 февраля 2025 года № 358 «Об утверждении методик расчета показателей национального проекта «Семья», федерального проекта «Семейные ценности и инфраструктура культуры (культура для семьи)»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(до 25 января)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культуры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Увеличение числа посещений организаций культуры по отношению к 2023 году,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Методика расчета индикатора утверждена приказом Министерства культуры РФ от 27 февраля 2025 года № 358 «Об утверждении методик расчета показателей национального проекта «Семья», федерального проекта «Семейные ценности и инфраструктура культуры (культура для семьи)»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25 января)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sz w:val="24"/>
                <w:szCs w:val="24"/>
              </w:rPr>
              <w:t>Министерство культуры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5 и 6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«5.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val="ru-RU" w:bidi="ar-SA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где:</w:t>
            </w:r>
          </w:p>
          <w:p>
            <w:pPr>
              <w:pStyle w:val="Normal"/>
              <w:widowControl w:val="false"/>
              <w:spacing w:lineRule="atLeast" w:line="288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FFFFFF" w:val="clear"/>
                <w:lang w:val="ru-RU" w:eastAsia="ru-RU" w:bidi="ar-SA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sz w:val="24"/>
                <w:szCs w:val="24"/>
                <w:shd w:fill="FFFFFF" w:val="clear"/>
                <w:lang w:val="ru-RU" w:eastAsia="ru-RU" w:bidi="ar-SA"/>
              </w:rPr>
              <w:t>квартальная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eastAsia="ru-RU" w:bidi="ar-SA"/>
              </w:rPr>
            </w:pPr>
            <w:r>
              <w:rPr>
                <w:sz w:val="24"/>
                <w:szCs w:val="24"/>
                <w:shd w:fill="FFFFFF" w:val="clear"/>
                <w:lang w:val="ru-RU" w:eastAsia="ru-RU" w:bidi="ar-SA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none"/>
                <w:shd w:fill="FFFFFF" w:val="clear"/>
                <w:lang w:val="ru-RU" w:bidi="ar-SA"/>
              </w:rPr>
            </w:pPr>
            <w:r>
              <w:rPr>
                <w:sz w:val="24"/>
                <w:szCs w:val="24"/>
                <w:shd w:fill="FFFFFF" w:val="clear"/>
                <w:lang w:val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7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5" w:type="dxa"/>
        <w:jc w:val="left"/>
        <w:tblInd w:w="77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56"/>
        <w:gridCol w:w="2014"/>
        <w:gridCol w:w="855"/>
        <w:gridCol w:w="3119"/>
        <w:gridCol w:w="1564"/>
        <w:gridCol w:w="1976"/>
      </w:tblGrid>
      <w:tr>
        <w:trPr/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«7.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«Регулирование отношений в области использования, охраны, защиты лесного фонда и воспроизводства лесов, лесоразведения (01.06.04) раздела «Министерство лесного хозяйства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 признать утратившим силу;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8 и 9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50"/>
        <w:gridCol w:w="3122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Отнесение площади лесовосстановления к землям, на которых расположены леса, тыс. га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color w:val="000000"/>
                <w:sz w:val="24"/>
                <w:szCs w:val="24"/>
              </w:rPr>
              <w:t>Методика расчета индикатора утверждена приказом Рослесхоза от 26.11.2024 № 879 «Об утверждении Методики расчета показателя «</w:t>
            </w:r>
            <w:r>
              <w:rPr>
                <w:rStyle w:val="Style17"/>
                <w:rFonts w:eastAsia="Calibri" w:cs="Times New Roman"/>
                <w:color w:val="000000"/>
                <w:kern w:val="0"/>
                <w:sz w:val="24"/>
                <w:szCs w:val="24"/>
                <w:lang w:eastAsia="en-US"/>
              </w:rPr>
              <w:t>Отнесение площадей лесовосстановления к землям, на которых расположены леса» федерального проекта «Сохранение лесов» национального проекта «Экологическое благополучие»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31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лесного хозяйства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Сокращение площади лесных пожаров на землях лесного фонда по отношению к 2021 году,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color w:val="000000"/>
                <w:sz w:val="24"/>
                <w:szCs w:val="24"/>
              </w:rPr>
              <w:t>Методика расчета индикатора утверждена приказом Рослесхоза от 26.11.2024 № 879 «Об утверждении Методики расчета показателя «</w:t>
            </w:r>
            <w:r>
              <w:rPr>
                <w:rStyle w:val="Style17"/>
                <w:rFonts w:eastAsia="Calibri" w:cs="Times New Roman"/>
                <w:color w:val="000000"/>
                <w:kern w:val="0"/>
                <w:sz w:val="24"/>
                <w:szCs w:val="24"/>
                <w:lang w:eastAsia="en-US"/>
              </w:rPr>
              <w:t>Отнесение площадей лесовосстановления к землям, на которых расположены леса» федерального проекта «Сохранение лесов» национального проекта «Экологическое благополучие»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лесного хозяйства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«Управление образованием (04.05)» раздела 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«Министерство образования и науки Республики Татарстан»: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3, 7 и 10 признать утратившими силу;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4 пункта 11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«Методика расчета индикатора утверждена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8"/>
          <w:szCs w:val="28"/>
        </w:rPr>
        <w:t>28 января 2025 г. № 58 «Об утверждении методик расчета показателей для оценки эффективности деятельности высших</w:t>
        <w:br/>
        <w:t>должностных лиц субъектов Российской Федерации и деятельности</w:t>
        <w:br/>
        <w:t>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4 пункта 13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«Методика расчета индикатора утверждена постановлением Правительства Российской Федерации от </w:t>
      </w:r>
      <w:r>
        <w:rPr>
          <w:rFonts w:eastAsia="Times New Roman" w:cs="Times New Roman" w:ascii="Times New Roman" w:hAnsi="Times New Roman"/>
          <w:sz w:val="28"/>
          <w:szCs w:val="28"/>
        </w:rPr>
        <w:t>28 января 2025 г. № 58 «Об утверждении методик расчета показателей для оценки эффективности деятельности высших</w:t>
        <w:br/>
        <w:t>должностных лиц субъектов Российской Федерации и деятельности</w:t>
        <w:br/>
        <w:t>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14 и 15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50"/>
        <w:gridCol w:w="3123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«14.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color w:val="000000"/>
                <w:sz w:val="24"/>
                <w:szCs w:val="24"/>
              </w:rPr>
              <w:t>Методика расчета индикатора утверждена приказом Министерства просвещения РФ от 13.12.2024 № 879 «</w:t>
            </w:r>
            <w:r>
              <w:rPr>
                <w:rStyle w:val="Style17"/>
                <w:rFonts w:eastAsia="Calibri" w:cs="Times New Roman"/>
                <w:color w:val="000000"/>
                <w:kern w:val="0"/>
                <w:sz w:val="24"/>
                <w:szCs w:val="24"/>
                <w:lang w:eastAsia="en-US"/>
              </w:rPr>
              <w:t>Об утверждении методик расчета показателей федерального проекта «Профессионалитет» национального проекта «Молодежь и дети»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15 апреля)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Республики Татарстан»;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Доля занятых выпускников, прошедших обучение по программам федерального проекта «Профессионалитет»,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Style w:val="Style17"/>
                <w:color w:val="000000"/>
                <w:sz w:val="24"/>
                <w:szCs w:val="24"/>
              </w:rPr>
              <w:t>Методика расчета индикатора утверждена приказом Министерства просвещения РФ от 13.12.2024 № 879 «</w:t>
            </w:r>
            <w:r>
              <w:rPr>
                <w:rStyle w:val="Style17"/>
                <w:rFonts w:eastAsia="Calibri" w:cs="Times New Roman"/>
                <w:color w:val="000000"/>
                <w:kern w:val="0"/>
                <w:sz w:val="24"/>
                <w:szCs w:val="24"/>
                <w:lang w:eastAsia="en-US"/>
              </w:rPr>
              <w:t>Об утверждении методик расчета показателей федерального проекта «Профессионалитет» национального проекта «Молодежь и дети»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17 апреля)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 регионального вида контроля (надзора)» раздела «Министерство по делам гражданской обороны и чрезвычайным ситуациям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 6 и 7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«6.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  <w:lang w:val="ru-RU" w:bidi="ar-SA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квартальная</w:t>
            </w:r>
          </w:p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разделе «Министерство по делам молодежи Республики Татарстан»: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57" w:firstLine="794"/>
        <w:jc w:val="both"/>
        <w:rPr/>
      </w:pPr>
      <w:r>
        <w:rPr>
          <w:rFonts w:ascii="Times New Roman" w:hAnsi="Times New Roman"/>
          <w:sz w:val="28"/>
          <w:szCs w:val="28"/>
        </w:rPr>
        <w:t>в подразделе «Управление в области реализации государственной молодежной политики (04.07)»: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57" w:firstLine="794"/>
        <w:jc w:val="both"/>
        <w:rPr/>
      </w:pPr>
      <w:r>
        <w:rPr>
          <w:rFonts w:ascii="Times New Roman" w:hAnsi="Times New Roman"/>
          <w:sz w:val="28"/>
          <w:szCs w:val="28"/>
        </w:rPr>
        <w:t>пункты 3 и 4 признать утратившими силу;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57" w:firstLine="794"/>
        <w:jc w:val="both"/>
        <w:rPr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 xml:space="preserve">графу 4 пункта 5 изложить в следующей редакции: </w:t>
      </w:r>
    </w:p>
    <w:p>
      <w:pPr>
        <w:pStyle w:val="ConsPlusNormal"/>
        <w:widowControl w:val="false"/>
        <w:suppressAutoHyphens w:val="true"/>
        <w:bidi w:val="0"/>
        <w:spacing w:before="0" w:after="0"/>
        <w:ind w:left="0" w:right="57" w:firstLine="794"/>
        <w:jc w:val="both"/>
        <w:rPr>
          <w:sz w:val="28"/>
          <w:szCs w:val="28"/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«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N</m:t>
            </m:r>
          </m:den>
        </m:f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100</m:t>
        </m:r>
      </m:oMath>
      <w:r>
        <w:rPr>
          <w:color w:val="000000"/>
          <w:sz w:val="28"/>
          <w:szCs w:val="28"/>
          <w:shd w:fill="auto" w:val="clear"/>
        </w:rPr>
        <w:t xml:space="preserve">, </w:t>
      </w:r>
    </w:p>
    <w:p>
      <w:pPr>
        <w:pStyle w:val="Normal"/>
        <w:widowControl w:val="false"/>
        <w:suppressAutoHyphens w:val="false"/>
        <w:bidi w:val="0"/>
        <w:spacing w:before="0" w:after="0"/>
        <w:ind w:left="0" w:right="57" w:firstLine="737"/>
        <w:jc w:val="left"/>
        <w:rPr>
          <w:color w:val="000000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>где:</w:t>
      </w:r>
    </w:p>
    <w:p>
      <w:pPr>
        <w:pStyle w:val="Normal"/>
        <w:widowControl w:val="false"/>
        <w:bidi w:val="0"/>
        <w:spacing w:before="0" w:after="0"/>
        <w:ind w:left="0" w:right="57" w:firstLine="737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А - общая численность добровольцев (волонтеров) субъекта Российской Федерации,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на отчетную дату отчетного периода (прошедшего года), человек </w:t>
      </w:r>
    </w:p>
    <w:p>
      <w:pPr>
        <w:pStyle w:val="Normal"/>
        <w:widowControl w:val="false"/>
        <w:bidi w:val="0"/>
        <w:spacing w:before="0" w:after="0"/>
        <w:ind w:left="0" w:right="57" w:firstLine="737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N - численность населения субъекта Российской Федерации в возрасте от 7 лет и старше в соответствующем отчетном периоде (прошедшем году), человек»; </w:t>
      </w:r>
    </w:p>
    <w:p>
      <w:pPr>
        <w:pStyle w:val="ConsPlusNormal"/>
        <w:widowControl w:val="false"/>
        <w:bidi w:val="0"/>
        <w:spacing w:before="0" w:after="0"/>
        <w:ind w:left="0" w:right="57" w:firstLine="73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7-10 следующего содержания:</w:t>
      </w:r>
    </w:p>
    <w:p>
      <w:pPr>
        <w:pStyle w:val="ConsPlusNormal"/>
        <w:ind w:left="0"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50"/>
        <w:gridCol w:w="3123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«7.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strike w:val="false"/>
                <w:dstrike w:val="false"/>
                <w:color w:val="000000"/>
                <w:kern w:val="0"/>
                <w:sz w:val="24"/>
                <w:szCs w:val="24"/>
                <w:shd w:fill="auto" w:val="clear"/>
                <w:lang w:val="ru-RU" w:eastAsia="en-US" w:bidi="ar-SA"/>
              </w:rPr>
              <w:t>Доля молодых людей, вовлеченных в мероприятия, направленные на профессиональное развитие,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Методика расчета индикатора утверждена приказом Федерального агентства по делам молодежи от 13.12.2024 № 505 «Об утверждении методики расчета показателя «Доля молодых людей, участвующих в проектах и программах, направленных на профессиональное развитие федерального проекта «Россия - страна возможностей» национального проекта «Молодежь и дети»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делам молодежи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ru-RU" w:eastAsia="en-US" w:bidi="ar-SA"/>
              </w:rPr>
              <w:t>Охват молодежи мероприятиями проводимыми на базе инфраструктуры молодежной политики, 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Методика расчета индикатора утверждена приказом Федерального агентства по делам молодежи от 13.12.2024 № 505 «Об утверждении методики расчета показателя «Доля молодых людей, участвующих в проектах и программах, направленных на профессиональное развитие федерального проекта «Россия - страна возможностей» национального проекта «Молодежь и дети»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делам молодежи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color w:val="000000"/>
                <w:sz w:val="24"/>
                <w:szCs w:val="24"/>
              </w:rPr>
              <w:t>Доля молодых людей, участвующих в проектах и программах, направленных на патриотическое воспитание, 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индикатора утверждена приказом Федерального агентства по делам молодежи от 13.12.2024 № 505 «Об утверждении методики расчета показателя «Доля молодых людей, участвующих в проектах и программах, направленных на профессиональное развитие федерального проекта «Россия - страна возможностей» национального проекта «Молодежь и дети»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делам молодежи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24"/>
                <w:szCs w:val="24"/>
              </w:rPr>
              <w:t>Доля молодых семей, в том числе молодых семей имеющих детей, участвующих в мероприятиях по продвижению традиционных духовно-нравственных ценностей, в том числе в проектах и программах, направленных на патриотическое воспитание, в добровольческую и общественную деятельность, процентов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Методика расчета индикатора утверждена приказом Федерального агентства по делам молодежи от 13.12.2024 № 505 «Об утверждении методики расчета показателя «Доля молодых людей, участвующих в проектах и программах, направленных на профессиональное развитие федерального проекта «Россия - страна возможностей» национального проекта «Молодежь и дети»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марта)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по делам молодежи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 регионального вида контроля (надзора)»: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10 и 11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60" w:type="dxa"/>
        <w:jc w:val="left"/>
        <w:tblInd w:w="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732"/>
        <w:gridCol w:w="2144"/>
        <w:gridCol w:w="724"/>
        <w:gridCol w:w="3120"/>
        <w:gridCol w:w="1559"/>
        <w:gridCol w:w="1980"/>
      </w:tblGrid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«10.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11.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12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подраздела «Социально-экономическое программирование (01.01)»  раздела «Министерство промышленности и торговли Республики Татарстан» 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50"/>
        <w:gridCol w:w="3123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Доля предприятий, достигших ежегодного 5% прироста производительности труда на предприятиях-участниках, внедряющих мероприятия производительности труда под федеральным и региональным управлением,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Методика расчета индикатора утверждена приказом Министерства экономического развития РФ от 23 декабря 2024г. № 814 «Об утверждении методики расчета показателя «Доля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годовая (до 1 ноября года)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промышленности и торговли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«Управление сельским хозяйством (03.02)» раздела «Министерство сельского хозяйства и продовольствия Республики Татарстан» пункты 2.1. и 2.2. признать утратившими силу;</w:t>
      </w:r>
    </w:p>
    <w:p>
      <w:pPr>
        <w:pStyle w:val="ConsPlusNormal"/>
        <w:ind w:firstLine="709"/>
        <w:jc w:val="both"/>
        <w:rPr>
          <w:highlight w:val="none"/>
          <w:shd w:fill="81D41A" w:val="clear"/>
        </w:rPr>
      </w:pPr>
      <w:r>
        <w:rPr>
          <w:rFonts w:eastAsia="Times New Roman" w:cs="Calibri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графу 4 пункта 3 подраздела «Управление в области культуры и спорта (04.04)» раздела «Министерство спорта Республики Татарстан» изложить в следующей редакции: </w:t>
      </w:r>
    </w:p>
    <w:p>
      <w:pPr>
        <w:pStyle w:val="ConsPlusNormal"/>
        <w:ind w:firstLine="709"/>
        <w:jc w:val="both"/>
        <w:rPr>
          <w:highlight w:val="none"/>
          <w:shd w:fill="81D41A" w:val="clear"/>
        </w:rPr>
      </w:pPr>
      <w:r>
        <w:rPr>
          <w:rFonts w:eastAsia="Times New Roman" w:cs="Calibri" w:ascii="Times New Roman" w:hAnsi="Times New Roman"/>
          <w:color w:val="auto"/>
          <w:kern w:val="0"/>
          <w:sz w:val="28"/>
          <w:szCs w:val="28"/>
          <w:lang w:val="ru-RU" w:eastAsia="ru-RU" w:bidi="ar-SA"/>
        </w:rPr>
        <w:t>«</w:t>
      </w: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V</m:t>
        </m:r>
        <m:r>
          <w:rPr>
            <w:rFonts w:ascii="Cambria Math" w:hAnsi="Cambria Math"/>
          </w:rPr>
          <m:t xml:space="preserve">=</m:t>
        </m:r>
        <m:f>
          <m:num>
            <m:r>
              <w:rPr>
                <w:rFonts w:ascii="Cambria Math" w:hAnsi="Cambria Math"/>
              </w:rPr>
              <m:t xml:space="preserve">A</m:t>
            </m:r>
          </m:num>
          <m:den>
            <m:r>
              <w:rPr>
                <w:rFonts w:ascii="Cambria Math" w:hAnsi="Cambria Math"/>
              </w:rPr>
              <m:t xml:space="preserve">B</m:t>
            </m:r>
            <m:r>
              <w:rPr>
                <w:rFonts w:ascii="Cambria Math" w:hAnsi="Cambria Math"/>
              </w:rPr>
              <m:t xml:space="preserve">−</m:t>
            </m:r>
            <m:r>
              <w:rPr>
                <w:rFonts w:ascii="Cambria Math" w:hAnsi="Cambria Math"/>
              </w:rPr>
              <m:t xml:space="preserve">C</m:t>
            </m:r>
          </m:den>
        </m:f>
        <m:r>
          <w:rPr>
            <w:rFonts w:ascii="Cambria Math" w:hAnsi="Cambria Math"/>
          </w:rPr>
          <m:t xml:space="preserve">×</m:t>
        </m:r>
        <m:r>
          <w:rPr>
            <w:rFonts w:ascii="Cambria Math" w:hAnsi="Cambria Math"/>
          </w:rPr>
          <m:t xml:space="preserve">100</m:t>
        </m:r>
      </m:oMath>
      <w:r>
        <w:rPr>
          <w:rFonts w:ascii="Times New Roman" w:hAnsi="Times New Roman"/>
          <w:sz w:val="24"/>
          <w:szCs w:val="24"/>
        </w:rPr>
        <w:t>,</w:t>
      </w:r>
    </w:p>
    <w:p>
      <w:pPr>
        <w:pStyle w:val="ConsPlusNormal"/>
        <w:ind w:firstLine="709"/>
        <w:jc w:val="both"/>
        <w:rPr>
          <w:highlight w:val="none"/>
          <w:shd w:fill="81D41A" w:val="clear"/>
        </w:rPr>
      </w:pPr>
      <w:r>
        <w:rPr>
          <w:rFonts w:eastAsia="Times New Roman" w:cs="Calibri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где: </w:t>
      </w:r>
    </w:p>
    <w:p>
      <w:pPr>
        <w:pStyle w:val="Style19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А - численность населения в возрасте 3 - 79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 </w:t>
      </w:r>
    </w:p>
    <w:p>
      <w:pPr>
        <w:pStyle w:val="Style19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В - численность населения в возрасте 3 - 79 лет за отчетный год (человек); </w:t>
      </w:r>
    </w:p>
    <w:p>
      <w:pPr>
        <w:pStyle w:val="Style19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С - численность населения в возрасте 3 - 79 лет, имеющего противопоказания и ограничения для занятий физической культурой и спортом, согласно формам статистического наблюдения, за отчетный год»;</w:t>
      </w:r>
    </w:p>
    <w:p>
      <w:pPr>
        <w:pStyle w:val="Style19"/>
        <w:widowControl/>
        <w:suppressAutoHyphens w:val="fals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в разделе «Министерство строительства, архитектуры и жилищно-коммунального хозяйства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 подразделе «Управление строительством, капитальным ремонтом и реконструкцией объектов (01.05.03)»: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eastAsia="Times New Roman" w:cs="Calibri" w:ascii="Times New Roman" w:hAnsi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графу 4 пункта 5 изложить в следующей редакции:</w:t>
      </w:r>
    </w:p>
    <w:p>
      <w:pPr>
        <w:pStyle w:val="Style19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«V = А + В,</w:t>
      </w:r>
    </w:p>
    <w:p>
      <w:pPr>
        <w:pStyle w:val="Style19"/>
        <w:widowControl/>
        <w:suppressAutoHyphens w:val="false"/>
        <w:bidi w:val="0"/>
        <w:spacing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где: </w:t>
      </w:r>
    </w:p>
    <w:p>
      <w:pPr>
        <w:pStyle w:val="Style19"/>
        <w:widowControl/>
        <w:suppressAutoHyphens w:val="false"/>
        <w:bidi w:val="0"/>
        <w:spacing w:lineRule="atLeast" w:line="285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А - ввод жилья в многоквартирных домах, индивидуальных жилых домах, построенных юридическими лицами (организациями-застройщиками), общежитиях и жилые помещения в нежилых зданиях, млн. кв. метров общей площади; </w:t>
      </w:r>
    </w:p>
    <w:p>
      <w:pPr>
        <w:pStyle w:val="Style19"/>
        <w:widowControl/>
        <w:suppressAutoHyphens w:val="false"/>
        <w:bidi w:val="0"/>
        <w:spacing w:lineRule="atLeast" w:line="285" w:before="0" w:after="0"/>
        <w:ind w:left="0" w:right="0" w:firstLine="850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 xml:space="preserve">В - ввод общей площади жилых домов, построенных населением, млн. кв. метров общей площади»; 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color w:val="auto"/>
          <w:kern w:val="0"/>
          <w:sz w:val="28"/>
          <w:szCs w:val="28"/>
          <w:lang w:val="ru-RU" w:eastAsia="ru-RU" w:bidi="ar-SA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57"/>
              <w:jc w:val="both"/>
              <w:rPr/>
            </w:pPr>
            <w:r>
              <w:rPr>
                <w:color w:val="000000"/>
                <w:sz w:val="24"/>
              </w:rPr>
              <w:t>Качество среды для жизни в опорных населенных пунктах,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15 апреля)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строительства, архитектуры и жилищно-коммунального хозяйства Республики Татарстан//Министерство экономики Республики Татарстан/Территориальный орган</w:t>
            </w:r>
            <w:r>
              <w:rPr>
                <w:color w:val="C9211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Федеральной службы государственной статистики по Республике Татарстан (по согласовани</w:t>
            </w:r>
            <w:r>
              <w:rPr>
                <w:color w:val="000000"/>
                <w:sz w:val="24"/>
                <w:szCs w:val="24"/>
              </w:rPr>
              <w:t>ю)»;</w:t>
            </w:r>
          </w:p>
        </w:tc>
      </w:tr>
    </w:tbl>
    <w:p>
      <w:pPr>
        <w:pStyle w:val="Normal"/>
        <w:ind w:firstLine="708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пункт 8 подраздела «Управление обеспечением прав граждан на жилище и предоставлением потребителям качественных жилищно-коммунальных услуг (04.01)» признать утратившим силу;</w:t>
      </w:r>
    </w:p>
    <w:p>
      <w:pPr>
        <w:pStyle w:val="Normal"/>
        <w:ind w:firstLine="708"/>
        <w:jc w:val="both"/>
        <w:rPr>
          <w:highlight w:val="none"/>
          <w:shd w:fill="auto" w:val="clear"/>
        </w:rPr>
      </w:pPr>
      <w:r>
        <w:rPr>
          <w:rFonts w:eastAsia="Times New Roman" w:cs="Calibri"/>
          <w:color w:val="000000"/>
          <w:kern w:val="0"/>
          <w:sz w:val="28"/>
          <w:szCs w:val="28"/>
          <w:shd w:fill="auto" w:val="clear"/>
          <w:lang w:val="ru-RU" w:eastAsia="ru-RU" w:bidi="ar-SA"/>
        </w:rPr>
        <w:t>в разделе «Министерство транспорта и дорожного хозяйства Республики Татарстан»:</w:t>
      </w:r>
    </w:p>
    <w:p>
      <w:pPr>
        <w:pStyle w:val="Normal"/>
        <w:ind w:firstLine="708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в подразделе «Управление транспортным и дорожными комплексами (03.03)» :</w:t>
      </w:r>
    </w:p>
    <w:p>
      <w:pPr>
        <w:pStyle w:val="Normal"/>
        <w:ind w:firstLine="708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в графе 2 пункта 1 после слова «регионального» добавить слова «и муниципального»;</w:t>
      </w:r>
    </w:p>
    <w:p>
      <w:pPr>
        <w:pStyle w:val="Normal"/>
        <w:ind w:firstLine="708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  <w:t>дополнить пунктом 6 следующего содержания:</w:t>
      </w:r>
    </w:p>
    <w:p>
      <w:pPr>
        <w:pStyle w:val="Normal"/>
        <w:ind w:firstLine="708"/>
        <w:jc w:val="both"/>
        <w:rPr>
          <w:rFonts w:ascii="Times New Roman" w:hAnsi="Times New Roman" w:eastAsia="Times New Roman" w:cs="Calib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/>
          <w:color w:val="auto"/>
          <w:kern w:val="0"/>
          <w:sz w:val="28"/>
          <w:szCs w:val="28"/>
          <w:lang w:val="ru-RU" w:eastAsia="ru-RU" w:bidi="ar-SA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«6.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both"/>
              <w:rPr/>
            </w:pPr>
            <w:r>
              <w:rPr>
                <w:rStyle w:val="11"/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Доля автомобильных дорог регионального значения, входящих в опорную сеть, соответствующих нормативным требованиям,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9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,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где: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А - общая протяженность автомобильных дорог общего пользования регионального значения, входящих в опорную сеть, соответствующая нормативным требованиям, на конец отчетного года, километров;</w:t>
            </w:r>
          </w:p>
          <w:p>
            <w:pPr>
              <w:pStyle w:val="Style19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В - общая протяженность всех автомобильных дорог общего пользования регионального значения, входящих в опорную сеть, на конец года, предшествующего отчетному, километров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(до 30 января)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8 и 9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«8.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  <w:lang w:val="ru-RU" w:bidi="ar-SA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А -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10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«10.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разделе «Министерство труда, занятости и социальной защиты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подраздел «Социально-экономическое программирование (01.01)» дополнить пунктом 3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28" w:before="0" w:after="200"/>
              <w:jc w:val="both"/>
              <w:rPr/>
            </w:pPr>
            <w:r>
              <w:rPr>
                <w:rStyle w:val="11"/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Суммарный коэффициент рождаемости,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годовая (вторая декада марта/вторая декада июня)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труда, занятости и социальной защиты Республики Татарстан/Министерство экономики Республики Татарстан/Территориальный орган</w:t>
            </w:r>
            <w:r>
              <w:rPr>
                <w:color w:val="C9211E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Федеральной службы государственной статистики по Республике Татарстан (по согласовани</w:t>
            </w:r>
            <w:r>
              <w:rPr>
                <w:color w:val="000000"/>
                <w:sz w:val="24"/>
                <w:szCs w:val="24"/>
              </w:rPr>
              <w:t>ю)»;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«Управление социальной защитой (04.06)»: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4 пункта 6 изложить в следующей редакции: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4 пункта 7 изложить в следующей редакции: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 регионального вида контроля (надзора)»: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12 и 13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«12.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13.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14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«14.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разделе «Министерство цифрового развития государственного управления, информационных технологий и связи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«Социально-экономическое программирование (01.01)» пункты 1 и 8 признать утратившими силу;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color w:val="auto"/>
                <w:sz w:val="24"/>
                <w:szCs w:val="24"/>
                <w:lang w:val="ru-RU" w:eastAsia="en-US" w:bidi="ar-SA"/>
              </w:rPr>
              <w:t>Доля домохозяйств, которым обеспечена возможность качественного высокоскоростного широкополосного доступа к информационно-телекоммуникационной сети «Интернет», в том числе с использованием сетей (инфраструктуры) спутниковой и мобильной связи и с учетом роста пропускной способности магистральной инфраструктуры,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Методика расчета индикатора утверждена приказом Министерства цифрового развития, связи и массовых коммуникаций РФ от 18 ноября 2020 года № 601 «Об утверждении методик расчета прогнозных значений целевых показателей национальной цели развития Российской Федерации «Цифровая трансформация»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годовая (первая декада апреля)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пункт 6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highlight w:val="none"/>
          <w:shd w:fill="81D41A" w:val="clear"/>
        </w:rPr>
      </w:pPr>
      <w:r>
        <w:rPr>
          <w:sz w:val="28"/>
          <w:szCs w:val="28"/>
          <w:shd w:fill="81D41A" w:val="clear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«6.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TimesNewRoman" w:cs="TimesNewRoman" w:ascii="TimesNewRoman" w:hAnsi="TimesNew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>«</w:t>
            </w:r>
            <w:r>
              <w:rPr>
                <w:rFonts w:eastAsia="TimesNewRoman" w:cs="TimesNew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shd w:fill="auto" w:val="clear"/>
                <w:lang w:val="ru-RU" w:eastAsia="en-US" w:bidi="ar-SA"/>
              </w:rPr>
              <w:t>Цифровая зрелость» государственного и муниципального управления, ключевых отраслей экономики и социальной сферы, в том числе здравоохранения и образования,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 xml:space="preserve">Методика расчета индикатора утверждена приказом Министерства цифрового развития, связи и массовых коммуникаций </w:t>
            </w: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4"/>
                <w:szCs w:val="24"/>
                <w:u w:val="none"/>
                <w:em w:val="none"/>
                <w:lang w:val="ru-RU" w:eastAsia="ru-RU" w:bidi="ar-SA"/>
              </w:rPr>
              <w:t>РФ от 28 декабря 2024 года № 1210 «Об утверждении методики расчета показателя «Достижение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интеллекта» государственной программы Российской Федерации «Информационное общество»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годовая (до 30 января)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пункт 9 изложить в следующей редакции: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«9.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spacing w:lineRule="auto" w:line="240" w:before="0" w:after="0"/>
              <w:ind w:left="0" w:hanging="0"/>
              <w:jc w:val="both"/>
              <w:rPr/>
            </w:pPr>
            <w:r>
              <w:rPr>
                <w:rFonts w:eastAsia="TimesNewRoman" w:cs="TimesNewRoman" w:ascii="TimesNewRoman" w:hAnsi="TimesNew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>Достижение органами контроля (надзора) целевого значения использования  дистанционных методов при проведении контрольных (надзорных) мероприятий,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где: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A - количество контрольных (надзорных) мероприятий, проводимых органами контроля (надзора) с использованием дистанционных методов, единиц;</w:t>
            </w:r>
          </w:p>
          <w:p>
            <w:pPr>
              <w:pStyle w:val="Normal"/>
              <w:widowControl w:val="false"/>
              <w:bidi w:val="0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  <w:t>B - общее число контрольных (надзорных) мероприятий, проводимых органами контроля (надзора), единиц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квартальная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государственного управления, информационных технологий и связи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дополнить пунктом 10 следующего содержания: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«9.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 w:bidi="ar-SA"/>
              </w:rPr>
              <w:t>Доля муниципальных образований (включая сельские поселения), подключенных к подсистеме досудебного обжалования решений контрольных (надзорных) органов ГИС «Типовое облачное решение контрольной (надзорной) деятельности»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– количество </w:t>
            </w:r>
            <w:r>
              <w:rPr>
                <w:sz w:val="24"/>
                <w:szCs w:val="24"/>
                <w:lang w:val="ru-RU" w:eastAsia="en-US" w:bidi="ar-SA"/>
              </w:rPr>
              <w:t>муниципальных образований (включая сельские поселения, осуществляющие муниципальный контроль), подключенных к подсистеме досудебного обжалования решений контрольных (надзорных) органов ГИС «Типовое облачное решение контрольной (надзорной) деятельности»</w:t>
            </w:r>
            <w:r>
              <w:rPr>
                <w:sz w:val="24"/>
                <w:szCs w:val="24"/>
              </w:rPr>
              <w:t>, единиц;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 - общее количество </w:t>
            </w:r>
            <w:r>
              <w:rPr>
                <w:sz w:val="24"/>
                <w:szCs w:val="24"/>
                <w:lang w:val="ru-RU" w:eastAsia="en-US" w:bidi="ar-SA"/>
              </w:rPr>
              <w:t xml:space="preserve">муниципальных образований (включая сельские поселения, осуществляющие муниципальный контроль), </w:t>
            </w: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разделе «Министерство экологии и природных ресурсов Республики Татарстан»: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графу 4 пункта 7 подраздела «Управление в области использования ресурсов, охраны окружающей среды (01.06)» изложить в следующей редакции: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одразделе «Показатели результативности и эффективности осуществления регионального вида контроля (надзора)» 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11 и 12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«11.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bidi="ar-SA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  <w:lang w:val="ru-RU" w:bidi="ar-SA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2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13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«13.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«Социально-экономическое программирование (01.01)» раздела «Министерство экономики Республики Татарстан»:</w:t>
      </w:r>
    </w:p>
    <w:p>
      <w:pPr>
        <w:pStyle w:val="ConsPlusNormal"/>
        <w:ind w:left="0" w:righ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 признать утратившим силу;</w:t>
      </w:r>
    </w:p>
    <w:p>
      <w:pPr>
        <w:pStyle w:val="ConsPlusNormal"/>
        <w:ind w:left="0" w:right="0" w:firstLine="142"/>
        <w:jc w:val="both"/>
        <w:rPr/>
      </w:pPr>
      <w:r>
        <w:rPr>
          <w:rFonts w:ascii="Times New Roman" w:hAnsi="Times New Roman"/>
          <w:sz w:val="28"/>
          <w:szCs w:val="28"/>
        </w:rPr>
        <w:t>графу 4 пункта 3 изложить в следующей редакции:</w:t>
      </w:r>
    </w:p>
    <w:p>
      <w:pPr>
        <w:pStyle w:val="Normal"/>
        <w:widowControl w:val="false"/>
        <w:spacing w:lineRule="atLeast" w:line="288" w:before="0" w:after="0"/>
        <w:ind w:left="0" w:right="0" w:firstLine="142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  <w:t>«V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з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= (I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b+1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x 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b+2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x 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b+3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... x 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b+i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) x 100,</w:t>
      </w:r>
    </w:p>
    <w:p>
      <w:pPr>
        <w:pStyle w:val="Normal"/>
        <w:widowControl w:val="false"/>
        <w:spacing w:lineRule="atLeast" w:line="288" w:before="0" w:after="0"/>
        <w:ind w:left="0" w:right="0" w:firstLine="142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  <w:t>где 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b+1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, 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рз b+2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>, ... - индекс реальной среднемесячной начисленной заработной платы в соответствующем году (b+1, b+2, b+3 ... b+i, где b - базовый 2020 год),</w:t>
      </w:r>
    </w:p>
    <w:p>
      <w:pPr>
        <w:pStyle w:val="Normal"/>
        <w:widowControl w:val="false"/>
        <w:spacing w:lineRule="atLeast" w:line="288" w:before="0" w:after="0"/>
        <w:ind w:left="0" w:right="0" w:firstLine="142"/>
        <w:jc w:val="both"/>
        <w:rPr>
          <w:sz w:val="28"/>
          <w:szCs w:val="28"/>
        </w:rPr>
      </w:pPr>
      <w:r>
        <w:rPr/>
        <w:drawing>
          <wp:inline distT="0" distB="0" distL="0" distR="0">
            <wp:extent cx="616585" cy="43434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spacing w:lineRule="auto" w:line="240" w:before="0" w:after="0"/>
        <w:ind w:left="0" w:right="0" w:firstLine="142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  <w:t>где:</w:t>
      </w:r>
    </w:p>
    <w:p>
      <w:pPr>
        <w:pStyle w:val="Normal"/>
        <w:widowControl w:val="false"/>
        <w:spacing w:lineRule="auto" w:line="240" w:before="0" w:after="0"/>
        <w:ind w:left="0" w:right="0" w:firstLine="142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  <w:t>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нз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- индекс среднемесячной номинальной начисленной заработной платы, процентов;</w:t>
      </w:r>
    </w:p>
    <w:p>
      <w:pPr>
        <w:pStyle w:val="Normal"/>
        <w:widowControl w:val="false"/>
        <w:spacing w:lineRule="auto" w:line="240" w:before="0" w:after="0"/>
        <w:ind w:left="0" w:right="0" w:firstLine="142"/>
        <w:jc w:val="both"/>
        <w:rPr>
          <w:sz w:val="28"/>
          <w:szCs w:val="28"/>
          <w:highlight w:val="none"/>
          <w:shd w:fill="auto" w:val="clear"/>
        </w:rPr>
      </w:pPr>
      <w:r>
        <w:rPr>
          <w:rFonts w:eastAsia="Times New Roman" w:cs="Times New Roman"/>
          <w:color w:val="000000"/>
          <w:sz w:val="28"/>
          <w:szCs w:val="28"/>
          <w:shd w:fill="auto" w:val="clear"/>
        </w:rPr>
        <w:t>I</w:t>
      </w:r>
      <w:r>
        <w:rPr>
          <w:rFonts w:eastAsia="Times New Roman" w:cs="Times New Roman"/>
          <w:color w:val="000000"/>
          <w:sz w:val="28"/>
          <w:szCs w:val="28"/>
          <w:shd w:fill="auto" w:val="clear"/>
          <w:vertAlign w:val="subscript"/>
        </w:rPr>
        <w:t>пц</w:t>
      </w:r>
      <w:r>
        <w:rPr>
          <w:rFonts w:eastAsia="Times New Roman" w:cs="Times New Roman"/>
          <w:color w:val="000000"/>
          <w:sz w:val="28"/>
          <w:szCs w:val="28"/>
          <w:shd w:fill="auto" w:val="clear"/>
        </w:rPr>
        <w:t xml:space="preserve"> - индекс потребительских цен (тарифов) на товары и услуги (за тот же период, что и индекс номинальной начисленной заработной платы), процентов»;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графу 4 пункта 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>
      <w:pPr>
        <w:pStyle w:val="ConsPlusNormal"/>
        <w:ind w:firstLine="709"/>
        <w:jc w:val="both"/>
        <w:rPr>
          <w:color w:val="C9211E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пунктами 7 и 8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«7.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eastAsia="Calibri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Доля субъектов малого и среднего предпринимательства, превысивших предельные значения для определения категорий субъектов малого и среднего предпринимательства (микро-, малые-, средние),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Методика расчета индикатора утверждена Приказом Министерства экономического развития РФ от 31.10.2024 № 688 «Об утверждении методики расчета показателя «Доля субъектов МСП, превысивших предельные значения для определения категорий субъектов МСП (микро-, малые, средние)» федерального проекта «Малое и среднее предпринимательство и поддержка индивидуальной предпринимательской инициативы» национального проекта «Эффективная и конкурентная экономика»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годовая (до 31 июля)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C9211E"/>
                <w:spacing w:val="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highlight w:val="none"/>
                <w:shd w:fill="auto" w:val="clear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shd w:fill="auto" w:val="clear"/>
                <w:lang w:val="ru-RU" w:eastAsia="en-US" w:bidi="ar-SA"/>
              </w:rPr>
              <w:t>Темп роста дохода в расчете на одного работника субъекта малого и среднего предпринимательства, процентов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Методика расчета индикатора утверждена постановлением Правительства Российской Федерации от 28 января 2025 г. № 58 «Об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15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lang w:val="ru-RU" w:eastAsia="ru-RU" w:bidi="ar-SA"/>
              </w:rPr>
              <w:t>годовая (до 31 июля)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экономики Республики Татарстан/Территориальный орган</w:t>
            </w:r>
            <w:r>
              <w:rPr>
                <w:color w:val="C9211E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Федеральной службы государственной статистики по Республике Татарстан (по согласованию)»;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</w:t>
      </w:r>
      <w:r>
        <w:rPr>
          <w:rFonts w:ascii="Times New Roman" w:hAnsi="Times New Roman"/>
          <w:sz w:val="28"/>
          <w:szCs w:val="28"/>
          <w:shd w:fill="FFFF00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регионального вида контроля (надзора)» раздела «Главное управление ветеринарии Кабинета Министров Республики Татарстан»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 и 4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 w:bidi="ar-SA"/>
              </w:rPr>
              <w:t>«4.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bidi="ar-SA"/>
              </w:rPr>
            </w:pPr>
            <w:r>
              <w:rPr>
                <w:sz w:val="24"/>
                <w:szCs w:val="24"/>
                <w:lang w:val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 регионального вида контроля (надзора)» раздела «Государственная жилищная инспекция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 и 4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 xml:space="preserve">В - количество контрольных (надзорных) мероприятий, единиц (за исключением контрольных (надзорных) мероприятий, проводимых на основании </w:t>
            </w:r>
            <w:hyperlink r:id="rId3" w:tgtFrame="https://login.consultant.ru/link/?req=doc&amp;base=LAW&amp;n=495001&amp;dst=100634&amp;field=134&amp;date=11.03.2025">
              <w:r>
                <w:rPr>
                  <w:sz w:val="24"/>
                  <w:szCs w:val="24"/>
                </w:rPr>
                <w:t>пункта 1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от 31 июля 2020 года № 248-ФЗ «О государственном контроле (надзоре) и муниципальном контроле в Российской Федерации» (далее - Федеральный закон № 248-ФЗ) (при поступлении обращений (заявлений) граждан, содержащих сведения о причинении вреда (ущерба) или об угрозе причинения вреда (ущерба) охраняемым законом ценностям, с учетом ограничений, установленных </w:t>
            </w:r>
            <w:hyperlink r:id="rId4" w:tgtFrame="https://login.consultant.ru/link/?req=doc&amp;base=LAW&amp;n=495209&amp;date=11.03.2025">
              <w:r>
                <w:rPr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(в случае проведения внеплановых контрольных (надзорных) мероприятий) (за исключением контрольных (надзорных) мероприятий, проводимых на основании </w:t>
            </w:r>
            <w:hyperlink r:id="rId5" w:tgtFrame="https://login.consultant.ru/link/?req=doc&amp;base=LAW&amp;n=495001&amp;dst=100634&amp;field=134&amp;date=11.03.2025">
              <w:r>
                <w:rPr>
                  <w:sz w:val="24"/>
                  <w:szCs w:val="24"/>
                </w:rPr>
                <w:t>пункта 1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 (при поступлении обращений (заявлений) граждан, содержащих сведения о причинении вреда (ущерба) или об угрозе причинения вреда (ущерба) охраняемым законом ценностям, с учетом ограничений, установленных </w:t>
            </w:r>
            <w:hyperlink r:id="rId6" w:tgtFrame="https://login.consultant.ru/link/?req=doc&amp;base=LAW&amp;n=495209&amp;date=11.03.2025">
              <w:r>
                <w:rPr>
                  <w:sz w:val="24"/>
                  <w:szCs w:val="24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highlight w:val="none"/>
          <w:shd w:fill="FFFFFF" w:val="clear"/>
        </w:rPr>
      </w:pPr>
      <w:r>
        <w:rPr>
          <w:rFonts w:cs="Calibri"/>
          <w:sz w:val="28"/>
          <w:szCs w:val="28"/>
          <w:shd w:fill="FFFFFF" w:val="clear"/>
        </w:rPr>
        <w:t xml:space="preserve">в </w:t>
      </w:r>
      <w:r>
        <w:rPr>
          <w:sz w:val="28"/>
          <w:szCs w:val="28"/>
          <w:shd w:fill="FFFFFF" w:val="clear"/>
        </w:rPr>
        <w:t xml:space="preserve">подразделе «Показатели результативности и эффективности осуществления регионального вида контроля (надзора)» </w:t>
      </w:r>
      <w:r>
        <w:rPr>
          <w:rFonts w:cs="Calibri"/>
          <w:sz w:val="28"/>
          <w:szCs w:val="28"/>
          <w:shd w:fill="FFFFFF" w:val="clear"/>
        </w:rPr>
        <w:t xml:space="preserve">раздела «Государственная инспекция Республики Татарстан по обеспечению государственного контроля за производством, оборотом и качеством </w:t>
      </w:r>
      <w:r>
        <w:rPr>
          <w:sz w:val="28"/>
          <w:szCs w:val="28"/>
          <w:shd w:fill="FFFFFF" w:val="clear"/>
        </w:rPr>
        <w:t>этилового спирта, алкогольной продукции и защите прав потребителей»: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 и 4 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 (за исключением контрольных (надзорных) мероприятий, проведенных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 на основании пункта 2 части 2 статьи 60 Федерального закона № 248-ФЗ и абзаца десятого подпункта «б» пункта 3 постановления Правительства Российской Федерации от 10 марта 2022 г. № 336 «Об особенностях организации и осуществления государственного контроля (надзора), муниципального контроля»)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(в случае проведения внеплановых контрольных (надзорных) мероприятий) (за исключением контрольных (надзорных) мероприятий, проведенных при поступлении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ее производства, не являющихся вещественными доказательствами по уголовному делу, от дознавателей, органов дознания, следователей, руководителей следственных органов, органов, осуществляющих оперативно-разыскную деятельность, а также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 органов, должностных лиц, уполномоченных рассматривать дела об административных правонарушениях на основании пункта 2 части 2 статьи 60  </w:t>
            </w:r>
            <w:hyperlink r:id="rId7" w:tgtFrame="http://study.garant.ru/document/redirect/74449814/0">
              <w:r>
                <w:rPr>
                  <w:sz w:val="24"/>
                  <w:szCs w:val="24"/>
                </w:rPr>
                <w:t>Федерального закона № 248-ФЗ</w:t>
              </w:r>
            </w:hyperlink>
            <w:r>
              <w:rPr>
                <w:sz w:val="24"/>
                <w:szCs w:val="24"/>
              </w:rPr>
              <w:t xml:space="preserve"> и абзаца десятого подпункта «б» пункта 3 постановления Правительства РФ от 10 марта 2022 г. № 336 «Об особенностях организации и осуществления государственного контроля (надзора), муниципального контроля»)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ConsPlusNormal"/>
        <w:ind w:firstLine="709"/>
        <w:jc w:val="both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в подразделе «Показатели результативности и эффективности осуществления регионального вида контроля (надзора)» раздела «Государственный комитет Республики Татарстан по архивному делу»: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6 и 7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2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Российской Федерации совместно с Правительством Российской Федерации,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4"/>
        <w:gridCol w:w="849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«8.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 раздела «Государственный комитет Республики Татарстан по биологическим ресурсам»: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пункты 4 и 5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1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6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«6.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 раздела «Государственный комитет Республики Татарстан по тарифам»: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5 и 6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1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Para xmlns:m="http://schemas.openxmlformats.org/officeDocument/2006/math"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V</m:t>
                </m:r>
                <m:r>
                  <w:rPr>
                    <w:rFonts w:ascii="Cambria Math" w:hAnsi="Cambria Math"/>
                  </w:rPr>
                  <m:t xml:space="preserve">=</m:t>
                </m:r>
                <m:f>
                  <m:num>
                    <m:r>
                      <w:rPr>
                        <w:rFonts w:ascii="Cambria Math" w:hAnsi="Cambria Math"/>
                      </w:rPr>
                      <m:t xml:space="preserve"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A</m:t>
                    </m:r>
                    <m:r>
                      <w:rPr>
                        <w:rFonts w:ascii="Cambria Math" w:hAnsi="Cambria Math"/>
                      </w:rPr>
                      <m:t xml:space="preserve">+</m:t>
                    </m:r>
                    <m:r>
                      <w:rPr>
                        <w:rFonts w:ascii="Cambria Math" w:hAnsi="Cambria Math"/>
                      </w:rPr>
                      <m:t xml:space="preserve">В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×</m:t>
                </m:r>
                <m:r>
                  <w:rPr>
                    <w:rFonts w:ascii="Cambria Math" w:hAnsi="Cambria Math"/>
                  </w:rPr>
                  <m:t xml:space="preserve">100</m:t>
                </m:r>
              </m:oMath>
            </m:oMathPara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РФи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7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«7.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2 пункта 5 подраздела «Управление в сфере туризма (04.09)» раздела «Государственный комитет Республики Татарстан по туризму» изложить в следующей редакции: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Рост числа посетителей цифровой туристической платформы Visit Tatarstan, процентов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 раздела «Инспекция государственного строительного надзора Республики Татарстан»: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6 и 7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1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«6.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 xml:space="preserve">В - количество контрольных (надзорных) мероприятий, единиц (за исключением контрольных (надзорных) мероприятий, проводимых на основании </w:t>
            </w:r>
            <w:hyperlink r:id="rId8" w:tgtFrame="https://login.consultant.ru/link/?req=doc&amp;base=LAW&amp;n=495001&amp;dst=100638&amp;field=134&amp;date=03.03.2025">
              <w:r>
                <w:rPr>
                  <w:sz w:val="24"/>
                  <w:szCs w:val="24"/>
                </w:rPr>
                <w:t>пункт</w:t>
              </w:r>
            </w:hyperlink>
            <w:r>
              <w:rPr>
                <w:sz w:val="24"/>
                <w:szCs w:val="24"/>
              </w:rPr>
              <w:t xml:space="preserve">а </w:t>
            </w:r>
            <w:hyperlink r:id="rId9" w:tgtFrame="https://login.consultant.ru/link/?req=doc&amp;base=LAW&amp;n=495001&amp;dst=100639&amp;field=134&amp;date=03.03.2025">
              <w:r>
                <w:rPr>
                  <w:sz w:val="24"/>
                  <w:szCs w:val="24"/>
                </w:rPr>
                <w:t>6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№ 248-ФЗ)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8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«8.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(в случае проведения внеплановых контрольных (надзорных) мероприятий) (за исключением контрольных (надзорных) мероприятий, проводимых на основании </w:t>
            </w:r>
            <w:hyperlink r:id="rId10" w:tgtFrame="https://login.consultant.ru/link/?req=doc&amp;base=LAW&amp;n=495001&amp;dst=100638&amp;field=134&amp;date=03.03.2025">
              <w:r>
                <w:rPr>
                  <w:sz w:val="24"/>
                  <w:szCs w:val="24"/>
                </w:rPr>
                <w:t>пункт</w:t>
              </w:r>
            </w:hyperlink>
            <w:r>
              <w:rPr>
                <w:sz w:val="24"/>
                <w:szCs w:val="24"/>
              </w:rPr>
              <w:t xml:space="preserve">а </w:t>
            </w:r>
            <w:hyperlink r:id="rId11" w:tgtFrame="https://login.consultant.ru/link/?req=doc&amp;base=LAW&amp;n=495001&amp;dst=100639&amp;field=134&amp;date=03.03.2025">
              <w:r>
                <w:rPr>
                  <w:sz w:val="24"/>
                  <w:szCs w:val="24"/>
                </w:rPr>
                <w:t>6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№ 248-ФЗ)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FFFF00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 раздела «Комитет Республики Татарстан по охране объектов культурного наследия: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графу 2 пункта 1 изложить в следующей редакции: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«Доля объектов культурного наследия регионального значения, местного (муниципального) значения, в отношении которых принято решение об исключении из Единого государственного реестра объектов культурного наследия (памятников истории и </w:t>
      </w:r>
      <w:r>
        <w:rPr>
          <w:rFonts w:ascii="Times New Roman" w:hAnsi="Times New Roman"/>
          <w:color w:val="000000"/>
          <w:sz w:val="28"/>
          <w:szCs w:val="28"/>
        </w:rPr>
        <w:t>культуры) Российской Федерации в связи с их полной физической утратой в отчетном периоде от общего количества объектов культурного наследия, включенных в реестр, процентов»;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графу 2 пункта 2 изложить в следующей редакции:</w:t>
      </w:r>
    </w:p>
    <w:p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«Доля объектов культурного наследия регионального значения, местного (муниципального) значения, выявленных объектов культурного наследия, поврежденных в крупном размере в отчетном периоде от общего числа указанных объектов, проценто</w:t>
      </w:r>
      <w:r>
        <w:rPr>
          <w:rFonts w:eastAsia="Times New Roman" w:cs="Calibri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в»;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 и 4 изложить в следующей редакции: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1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>А – количество профилактических визитов, единиц;</w:t>
              <w:br/>
              <w:t xml:space="preserve">В - количество контрольных (надзорных) мероприятий, единиц (за исключением контрольных (надзорных) мероприятий, проводимых на основании </w:t>
            </w:r>
            <w:hyperlink r:id="rId12" w:tgtFrame="https://login.consultant.ru/link/?req=doc&amp;base=LAW&amp;n=495001&amp;dst=100638&amp;field=134&amp;date=03.03.2025">
              <w:r>
                <w:rPr>
                  <w:sz w:val="24"/>
                  <w:szCs w:val="24"/>
                </w:rPr>
                <w:t>пункт</w:t>
              </w:r>
            </w:hyperlink>
            <w:r>
              <w:rPr>
                <w:sz w:val="24"/>
                <w:szCs w:val="24"/>
              </w:rPr>
              <w:t xml:space="preserve">а </w:t>
            </w:r>
            <w:hyperlink r:id="rId13" w:tgtFrame="https://login.consultant.ru/link/?req=doc&amp;base=LAW&amp;n=495001&amp;dst=100639&amp;field=134&amp;date=03.03.2025">
              <w:r>
                <w:rPr>
                  <w:sz w:val="24"/>
                  <w:szCs w:val="24"/>
                </w:rPr>
                <w:t>6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№ 248-ФЗ)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B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4"/>
                <w:szCs w:val="24"/>
              </w:rPr>
              <w:t xml:space="preserve">(в случае проведения внеплановых контрольных (надзорных) мероприятий)(за исключением контрольных (надзорных) мероприятий, проводимых на основании </w:t>
            </w:r>
            <w:hyperlink r:id="rId14" w:tgtFrame="https://login.consultant.ru/link/?req=doc&amp;base=LAW&amp;n=495001&amp;dst=100638&amp;field=134&amp;date=03.03.2025">
              <w:r>
                <w:rPr>
                  <w:sz w:val="24"/>
                  <w:szCs w:val="24"/>
                </w:rPr>
                <w:t>пункт</w:t>
              </w:r>
            </w:hyperlink>
            <w:r>
              <w:rPr>
                <w:sz w:val="24"/>
                <w:szCs w:val="24"/>
              </w:rPr>
              <w:t xml:space="preserve">а </w:t>
            </w:r>
            <w:hyperlink r:id="rId15" w:tgtFrame="https://login.consultant.ru/link/?req=doc&amp;base=LAW&amp;n=495001&amp;dst=100639&amp;field=134&amp;date=03.03.2025">
              <w:r>
                <w:rPr>
                  <w:sz w:val="24"/>
                  <w:szCs w:val="24"/>
                </w:rPr>
                <w:t>6 части 1 статьи 57</w:t>
              </w:r>
            </w:hyperlink>
            <w:r>
              <w:rPr>
                <w:sz w:val="24"/>
                <w:szCs w:val="24"/>
              </w:rPr>
              <w:t xml:space="preserve"> Федерального закона № 248-ФЗ)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highlight w:val="none"/>
          <w:shd w:fill="auto" w:val="clear"/>
        </w:rPr>
      </w:pPr>
      <w:r>
        <w:rPr>
          <w:rFonts w:ascii="Times New Roman" w:hAnsi="Times New Roman"/>
          <w:sz w:val="28"/>
          <w:szCs w:val="28"/>
          <w:shd w:fill="auto" w:val="clear"/>
        </w:rPr>
        <w:t>в подразделе «Показатели результативности и эффективности осуществления регионального вида контроля (надзора)» раздела «Управление по надзору за техническим состоянием самоходных машин и других видов техники»: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3 и 4 изложить в следующей редакции: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152"/>
        <w:gridCol w:w="721"/>
        <w:gridCol w:w="3123"/>
        <w:gridCol w:w="1556"/>
        <w:gridCol w:w="1986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«3.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профилактических визитов в общем количестве контрольно-надзорных мероприятий и профилактических визитов, процентов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A</m:t>
                  </m:r>
                  <m:r>
                    <w:rPr>
                      <w:rFonts w:ascii="Cambria Math" w:hAnsi="Cambria Math"/>
                    </w:rPr>
                    <m:t xml:space="preserve">+</m:t>
                  </m:r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 - количество профилактических визитов, единиц;</w:t>
              <w:br/>
              <w:t>В - количество контрольных (надзорных) мероприятий, единиц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Татарстан;</w:t>
            </w:r>
          </w:p>
        </w:tc>
      </w:tr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в отношении которых контрольным (надзорным) органом нарушен срок рассмотрения, единиц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Количество жалоб и ходатайств, поданных контролируемыми лицами в досудебном порядке, в отношении которых контрольными (надзорными) органами нарушен срок рассмотрения, единиц.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 w:bidi="ar-SA"/>
              </w:rPr>
              <w:t>В целях исключения случаев нарушения общих сроков рассмотрения жалоб и ходатайств в соответствии с Методикой рейтингования регионов в 2023 году, утвержденной Сводным докладом о государственном контроле (надзоре), муниципальном контроле в Российской Федерации в 2023 году, подготовленным Министерством экономического развития РФ совместно с Правительством РФ, срок рассмотрения жалоб, поступающих в рамках механизма досудебного обжалования, сокращен до 8 рабочих дней, ходатайств - до 1,5 дней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годовая (до 10 февраля)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5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3"/>
        <w:gridCol w:w="849"/>
        <w:gridCol w:w="3124"/>
        <w:gridCol w:w="1555"/>
        <w:gridCol w:w="1987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контрольных (надзорных) мероприятий, проведенных по индикаторам риска (с выявленными нарушениями) в общем количестве внеплановых контрольных (надзорных) мероприятий, процентов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sz w:val="24"/>
                <w:szCs w:val="24"/>
              </w:rPr>
              <w:t>,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– количество внеплановых контрольных (надзорных) мероприятий, проведенных по индикаторам риска с выявленными нарушениями, единиц;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– количество внеплановых контрольных (надзорных) мероприятий, единиц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случае проведения внеплановых контрольных (надзорных) мероприятий)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квартальная</w:t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экономики Республики Татарстан»;</w:t>
            </w:r>
          </w:p>
        </w:tc>
      </w:tr>
    </w:tbl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«Общие индикаторы» дополнить пунктом 20 следующего содержания:</w:t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207" w:type="dxa"/>
        <w:jc w:val="left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noVBand="0" w:val="0000" w:noHBand="0" w:lastColumn="0" w:firstColumn="0" w:lastRow="0" w:firstRow="0"/>
      </w:tblPr>
      <w:tblGrid>
        <w:gridCol w:w="668"/>
        <w:gridCol w:w="2025"/>
        <w:gridCol w:w="849"/>
        <w:gridCol w:w="3122"/>
        <w:gridCol w:w="1557"/>
        <w:gridCol w:w="1985"/>
      </w:tblGrid>
      <w:tr>
        <w:trPr/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«20.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4"/>
                <w:szCs w:val="24"/>
                <w:lang w:val="ru-RU" w:eastAsia="en-US" w:bidi="ar-SA"/>
              </w:rPr>
              <w:t>Доля проведенных закупок с субъектами малого предпринимательства и с социально ориентированными некоммерческими организациями в общем количестве проведенных конкурентных закупок (с учетом подведомственных организаций), процентов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годовая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"/>
              <w:widowControl w:val="false"/>
              <w:tabs>
                <w:tab w:val="clear" w:pos="708"/>
              </w:tabs>
              <w:bidi w:val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</w:r>
            <m:oMath xmlns:m="http://schemas.openxmlformats.org/officeDocument/2006/math">
              <m:r>
                <w:rPr>
                  <w:rFonts w:ascii="Cambria Math" w:hAnsi="Cambria Math"/>
                </w:rPr>
                <m:t xml:space="preserve">V</m:t>
              </m:r>
              <m:r>
                <w:rPr>
                  <w:rFonts w:ascii="Cambria Math" w:hAnsi="Cambria Math"/>
                </w:rPr>
                <m:t xml:space="preserve">=</m:t>
              </m:r>
              <m:f>
                <m:num>
                  <m:r>
                    <w:rPr>
                      <w:rFonts w:ascii="Cambria Math" w:hAnsi="Cambria Math"/>
                    </w:rPr>
                    <m:t xml:space="preserve">A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В</m:t>
                  </m:r>
                </m:den>
              </m:f>
              <m:r>
                <w:rPr>
                  <w:rFonts w:ascii="Cambria Math" w:hAnsi="Cambria Math"/>
                </w:rPr>
                <m:t xml:space="preserve">×</m:t>
              </m:r>
              <m:r>
                <w:rPr>
                  <w:rFonts w:ascii="Cambria Math" w:hAnsi="Cambria Math"/>
                </w:rPr>
                <m:t xml:space="preserve">100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A - количество проведенных закупок, размещенных у субъектов малого предпринимательства и социально ориентированных некоммерческих организаций (с учетом подведомственных организаций, осуществляющих закупки товаров, работ, услуг в соответствии с Федеральным </w:t>
            </w:r>
            <w:hyperlink r:id="rId16">
              <w:r>
                <w:rPr>
                  <w:rFonts w:eastAsia="Times New Roman" w:cs="Times New Roman" w:ascii="Times New Roman" w:hAnsi="Times New Roman"/>
                  <w:kern w:val="0"/>
                  <w:sz w:val="24"/>
                  <w:lang w:val="ru-RU" w:eastAsia="ru-RU" w:bidi="ar-SA"/>
                </w:rPr>
                <w:t>законом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 № 44-ФЗ);</w:t>
            </w:r>
          </w:p>
          <w:p>
            <w:pPr>
              <w:pStyle w:val="ConsPlusNormal"/>
              <w:widowControl w:val="false"/>
              <w:tabs>
                <w:tab w:val="clear" w:pos="708"/>
              </w:tabs>
              <w:bidi w:val="0"/>
              <w:ind w:left="0" w:right="0" w:hanging="0"/>
              <w:jc w:val="both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B - совокупное годовое количество конкурентных закупок (с учетом подведомственных организаций, осуществляющих закупки товаров, работ, услуг в соответствии с Федеральным </w:t>
            </w:r>
            <w:hyperlink r:id="rId17">
              <w:r>
                <w:rPr>
                  <w:rFonts w:eastAsia="Times New Roman" w:cs="Times New Roman" w:ascii="Times New Roman" w:hAnsi="Times New Roman"/>
                  <w:kern w:val="0"/>
                  <w:sz w:val="24"/>
                  <w:lang w:val="ru-RU" w:eastAsia="ru-RU" w:bidi="ar-SA"/>
                </w:rPr>
                <w:t>законом</w:t>
              </w:r>
            </w:hyperlink>
            <w:r>
              <w:rPr>
                <w:rFonts w:eastAsia="Times New Roman" w:cs="Times New Roman" w:ascii="Times New Roman" w:hAnsi="Times New Roman"/>
                <w:kern w:val="0"/>
                <w:sz w:val="24"/>
                <w:lang w:val="ru-RU" w:eastAsia="ru-RU" w:bidi="ar-SA"/>
              </w:rPr>
              <w:t xml:space="preserve"> № 44-ФЗ)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годовая (до 25 января)</w:t>
            </w:r>
          </w:p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республиканские органы исполнительной власти@.</w:t>
            </w:r>
          </w:p>
        </w:tc>
      </w:tr>
    </w:tbl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  <w:tab/>
        <w:tab/>
        <w:tab/>
        <w:tab/>
        <w:tab/>
        <w:tab/>
        <w:tab/>
        <w:tab/>
        <w:tab/>
        <w:t>А.В.Песошин</w:t>
      </w:r>
    </w:p>
    <w:p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18"/>
      <w:type w:val="nextPage"/>
      <w:pgSz w:w="11906" w:h="16838"/>
      <w:pgMar w:left="1125" w:right="567" w:gutter="0" w:header="709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New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68c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Style18"/>
    <w:next w:val="Style19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8"/>
    <w:next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Без интервала Знак"/>
    <w:link w:val="NoSpacing"/>
    <w:uiPriority w:val="1"/>
    <w:qFormat/>
    <w:rsid w:val="003c2ec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Текст выноски Знак"/>
    <w:link w:val="BalloonText"/>
    <w:uiPriority w:val="99"/>
    <w:semiHidden/>
    <w:qFormat/>
    <w:rsid w:val="002446fc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uiPriority w:val="99"/>
    <w:qFormat/>
    <w:rsid w:val="002d0dc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uiPriority w:val="99"/>
    <w:qFormat/>
    <w:rsid w:val="002d0dc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uiPriority w:val="99"/>
    <w:semiHidden/>
    <w:unhideWhenUsed/>
    <w:rsid w:val="00e302ee"/>
    <w:rPr>
      <w:color w:val="0000FF"/>
      <w:u w:val="single"/>
    </w:rPr>
  </w:style>
  <w:style w:type="character" w:styleId="Style16" w:customStyle="1">
    <w:name w:val="Абзац списка Знак"/>
    <w:link w:val="ListParagraph"/>
    <w:uiPriority w:val="34"/>
    <w:qFormat/>
    <w:locked/>
    <w:rsid w:val="00a30851"/>
    <w:rPr>
      <w:sz w:val="22"/>
      <w:szCs w:val="22"/>
      <w:lang w:eastAsia="en-US"/>
    </w:rPr>
  </w:style>
  <w:style w:type="character" w:styleId="1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2" w:customStyle="1">
    <w:name w:val="Обычный1"/>
    <w:qFormat/>
    <w:rsid w:val="00e2151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бычный2"/>
    <w:qFormat/>
    <w:rsid w:val="00da479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link w:val="Style12"/>
    <w:uiPriority w:val="1"/>
    <w:qFormat/>
    <w:rsid w:val="003c2ec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2446fc"/>
    <w:pPr/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2d0d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2d0dc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 w:customStyle="1">
    <w:name w:val="ConsPlusTitle"/>
    <w:qFormat/>
    <w:rsid w:val="00ca0ee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3" w:customStyle="1">
    <w:name w:val="Обычный3"/>
    <w:qFormat/>
    <w:rsid w:val="00c557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c557b8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unhideWhenUsed/>
    <w:qFormat/>
    <w:rsid w:val="000b7810"/>
    <w:pPr/>
    <w:rPr>
      <w:rFonts w:eastAsia="Calibri"/>
      <w:sz w:val="24"/>
      <w:szCs w:val="24"/>
    </w:rPr>
  </w:style>
  <w:style w:type="paragraph" w:styleId="Font7" w:customStyle="1">
    <w:name w:val="font7"/>
    <w:basedOn w:val="Normal"/>
    <w:qFormat/>
    <w:rsid w:val="00c22edb"/>
    <w:pPr>
      <w:spacing w:beforeAutospacing="1" w:afterAutospacing="1"/>
    </w:pPr>
    <w:rPr>
      <w:color w:val="000000"/>
      <w:sz w:val="24"/>
      <w:szCs w:val="24"/>
    </w:rPr>
  </w:style>
  <w:style w:type="paragraph" w:styleId="ListParagraph">
    <w:name w:val="List Paragraph"/>
    <w:basedOn w:val="Normal"/>
    <w:link w:val="Style16"/>
    <w:uiPriority w:val="34"/>
    <w:qFormat/>
    <w:rsid w:val="00a308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rmal1" w:customStyle="1">
    <w:name w:val="consplusnormal"/>
    <w:basedOn w:val="Normal"/>
    <w:qFormat/>
    <w:rsid w:val="00206459"/>
    <w:pPr/>
    <w:rPr>
      <w:rFonts w:eastAsia="Calibri"/>
      <w:sz w:val="24"/>
      <w:szCs w:val="24"/>
    </w:rPr>
  </w:style>
  <w:style w:type="paragraph" w:styleId="Xl65" w:customStyle="1">
    <w:name w:val="xl65"/>
    <w:basedOn w:val="Normal"/>
    <w:qFormat/>
    <w:rsid w:val="000111c0"/>
    <w:pPr>
      <w:spacing w:beforeAutospacing="1" w:afterAutospacing="1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95001&amp;dst=100634&amp;field=134&amp;date=11.03.2025" TargetMode="External"/><Relationship Id="rId4" Type="http://schemas.openxmlformats.org/officeDocument/2006/relationships/hyperlink" Target="https://login.consultant.ru/link/?req=doc&amp;base=LAW&amp;n=495209&amp;date=11.03.2025" TargetMode="External"/><Relationship Id="rId5" Type="http://schemas.openxmlformats.org/officeDocument/2006/relationships/hyperlink" Target="https://login.consultant.ru/link/?req=doc&amp;base=LAW&amp;n=495001&amp;dst=100634&amp;field=134&amp;date=11.03.2025" TargetMode="External"/><Relationship Id="rId6" Type="http://schemas.openxmlformats.org/officeDocument/2006/relationships/hyperlink" Target="https://login.consultant.ru/link/?req=doc&amp;base=LAW&amp;n=495209&amp;date=11.03.2025" TargetMode="External"/><Relationship Id="rId7" Type="http://schemas.openxmlformats.org/officeDocument/2006/relationships/hyperlink" Target="http://study.garant.ru/document/redirect/74449814/0" TargetMode="External"/><Relationship Id="rId8" Type="http://schemas.openxmlformats.org/officeDocument/2006/relationships/hyperlink" Target="https://login.consultant.ru/link/?req=doc&amp;base=LAW&amp;n=495001&amp;dst=100638&amp;field=134&amp;date=03.03.2025" TargetMode="External"/><Relationship Id="rId9" Type="http://schemas.openxmlformats.org/officeDocument/2006/relationships/hyperlink" Target="https://login.consultant.ru/link/?req=doc&amp;base=LAW&amp;n=495001&amp;dst=100639&amp;field=134&amp;date=03.03.2025" TargetMode="External"/><Relationship Id="rId10" Type="http://schemas.openxmlformats.org/officeDocument/2006/relationships/hyperlink" Target="https://login.consultant.ru/link/?req=doc&amp;base=LAW&amp;n=495001&amp;dst=100638&amp;field=134&amp;date=03.03.2025" TargetMode="External"/><Relationship Id="rId11" Type="http://schemas.openxmlformats.org/officeDocument/2006/relationships/hyperlink" Target="https://login.consultant.ru/link/?req=doc&amp;base=LAW&amp;n=495001&amp;dst=100639&amp;field=134&amp;date=03.03.2025" TargetMode="External"/><Relationship Id="rId12" Type="http://schemas.openxmlformats.org/officeDocument/2006/relationships/hyperlink" Target="https://login.consultant.ru/link/?req=doc&amp;base=LAW&amp;n=495001&amp;dst=100638&amp;field=134&amp;date=03.03.2025" TargetMode="External"/><Relationship Id="rId13" Type="http://schemas.openxmlformats.org/officeDocument/2006/relationships/hyperlink" Target="https://login.consultant.ru/link/?req=doc&amp;base=LAW&amp;n=495001&amp;dst=100639&amp;field=134&amp;date=03.03.2025" TargetMode="External"/><Relationship Id="rId14" Type="http://schemas.openxmlformats.org/officeDocument/2006/relationships/hyperlink" Target="https://login.consultant.ru/link/?req=doc&amp;base=LAW&amp;n=495001&amp;dst=100638&amp;field=134&amp;date=03.03.2025" TargetMode="External"/><Relationship Id="rId15" Type="http://schemas.openxmlformats.org/officeDocument/2006/relationships/hyperlink" Target="https://login.consultant.ru/link/?req=doc&amp;base=LAW&amp;n=495001&amp;dst=100639&amp;field=134&amp;date=03.03.2025" TargetMode="External"/><Relationship Id="rId16" Type="http://schemas.openxmlformats.org/officeDocument/2006/relationships/hyperlink" Target="https://login.consultant.ru/link/?req=doc&amp;base=LAW&amp;n=450824&amp;date=15.07.2024" TargetMode="External"/><Relationship Id="rId17" Type="http://schemas.openxmlformats.org/officeDocument/2006/relationships/hyperlink" Target="https://login.consultant.ru/link/?req=doc&amp;base=LAW&amp;n=450824&amp;date=15.07.2024" TargetMode="External"/><Relationship Id="rId18" Type="http://schemas.openxmlformats.org/officeDocument/2006/relationships/header" Target="header1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94A8-5829-455D-84A3-EF1AB15FF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10984</TotalTime>
  <Application>LibreOffice/7.5.6.2$Linux_X86_64 LibreOffice_project/50$Build-2</Application>
  <AppVersion>15.0000</AppVersion>
  <Pages>35</Pages>
  <Words>6851</Words>
  <Characters>52011</Characters>
  <CharactersWithSpaces>58333</CharactersWithSpaces>
  <Paragraphs>670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2024-03-12T09:22:00Z</dcterms:created>
  <dc:creator>Файзуллина Альбина Фаязовна</dc:creator>
  <dc:description/>
  <dc:language>ru-RU</dc:language>
  <cp:lastModifiedBy/>
  <cp:lastPrinted>2024-03-01T06:30:00Z</cp:lastPrinted>
  <dcterms:modified xsi:type="dcterms:W3CDTF">2025-04-09T11:50:41Z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