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onsPlusTitle"/>
        <w:ind w:left="6521" w:firstLine="6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вносится Кабинетом Министров Республики Татарстан</w:t>
      </w:r>
    </w:p>
    <w:p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</w:p>
    <w:p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ТАТАРСТАН</w:t>
      </w:r>
    </w:p>
    <w:p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Республики Татарстан</w:t>
      </w:r>
    </w:p>
    <w:p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  <w:r>
        <w:rPr>
          <w:sz w:val="28"/>
          <w:szCs w:val="28"/>
        </w:rPr>
        <w:t xml:space="preserve"> </w:t>
      </w:r>
    </w:p>
    <w:p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Земельному кодексу Республики Татарстан (в редакции Закона Республики Татарстан от 18 января 2005 года № 4-ЗРТ) (Ведомости Государственного Совета Татарстана, 1998, № 8 (II часть); 2005, N 1 (I часть), № 12 (I часть); 2006, № 7 (I часть); 2007, № 1 (I часть), № 4; 2008, № 5 (I часть); 2009, № 7 - 8 (III часть); 2010, № 11; 2011, № 11 (I часть); 2012, № 3, № 5 (I часть); 2013, № 1; 2014, № 3, № 5, № 6 (II часть), № 7, № 12 (II часть); 2015, № 7 (I часть), № 10 (I часть); 2016, № 5; Собрание законодательства Республики Татарстан, 2016, № 40 (часть I); 2017, № 41 (часть I), № 52 (часть I), № 76 (часть I); 2018, № 1 (часть I), № 22 (часть I), № 78 (часть I); 2019, № 2 (часть I), № 60 (часть I); 2020, № 77 (часть I); 2021, № 1 (часть I), № 20 (часть I), № 29 (часть I), № 57 (часть I), № 77 (часть I), № 93 (часть I); 2022, № 3 (часть I), № 17 (часть I), № 57 (часть I), № 77 (часть I), № 83 (часть I); 2023, № 11 (часть I), № 27 (часть I), № 56 (часть I), № 73 (часть I), № 86 (часть I), № 92 (часть I), № 95 (часть I); 2024, № 45 (часть I),</w:t>
      </w:r>
      <w:r>
        <w:t xml:space="preserve"> </w:t>
      </w:r>
      <w:r>
        <w:rPr>
          <w:sz w:val="28"/>
          <w:szCs w:val="28"/>
        </w:rPr>
        <w:t xml:space="preserve">№ 56 (часть I); 2025, № 1 (часть I)) следующие изменения: </w:t>
      </w:r>
    </w:p>
    <w:p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>
      <w:pPr>
        <w:pStyle w:val="a7"/>
        <w:spacing w:before="0" w:beforeAutospacing="0" w:after="0" w:afterAutospacing="0" w:line="288" w:lineRule="atLeast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1) подпункт 1 пункта второго изложить в следующей редакции:</w:t>
      </w:r>
    </w:p>
    <w:p>
      <w:pPr>
        <w:pStyle w:val="a7"/>
        <w:spacing w:after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«Предоставление земельного участка, находящегося в государственной или муниципальной собственности, в аренду без проведения торгов для реализации масштабного инвестиционного проекта допускается в случае, если такой проект соответствует одному из следующих критериев:</w:t>
      </w:r>
    </w:p>
    <w:p>
      <w:pPr>
        <w:pStyle w:val="a7"/>
        <w:spacing w:after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инвестиционный проект предполагает объем инвестиций:</w:t>
      </w:r>
    </w:p>
    <w:p>
      <w:pPr>
        <w:pStyle w:val="a7"/>
        <w:spacing w:after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350 миллионов рублей (за исключением строительства индивидуальных жилых домов и (или) многоквартирных домов, офисно-административных зданий);</w:t>
      </w:r>
    </w:p>
    <w:p>
      <w:pPr>
        <w:pStyle w:val="a7"/>
        <w:spacing w:after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70 миллионов рублей в строительство стационарной автомобильной заправочной станции публичного доступа, обеспечивающей возможность заправки транспортных средств компримированным (сжатым) и (или) сжиженным </w:t>
      </w:r>
      <w:r>
        <w:rPr>
          <w:sz w:val="28"/>
          <w:szCs w:val="28"/>
        </w:rPr>
        <w:lastRenderedPageBreak/>
        <w:t>природным газом (метаном) (мультитопливной автомобильной заправочной станции, обеспечивающей возможность заправки компримированным (сжатым) и (или) сжиженным природным газом (метаном), автомобильной газонаполнительной компрессорной станции, криогенной автозаправочной станции, обеспечивающей возможность заправки компримированным (сжатым) и (или) сжиженным природным газом (метаном);</w:t>
      </w:r>
    </w:p>
    <w:p>
      <w:pPr>
        <w:pStyle w:val="a7"/>
        <w:spacing w:after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20 миллионов рублей на территории опережающего социально-экономического развития "Набережные Челны" при соответствии инвестиционного проекта требованиям к инвестиционным проектам, реализуемым резидентами территорий опережающего развития, создаваемых на территориях монопрофильных муниципальных образований Российской Федерации (моногородов), установленным Правительством Российской Федерации (далее - Требования), в том числе не менее 2,5 миллиона рублей - в течение первого года после включения юридического лица в реестр резидентов территорий опережающего развития, создаваемых на территориях монопрофильных муниципальных образований Российской Федерации (моногородов) (далее - реестр резидентов территорий опережающего развития);</w:t>
      </w:r>
    </w:p>
    <w:p>
      <w:pPr>
        <w:pStyle w:val="a7"/>
        <w:spacing w:after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15 миллионов рублей на территории опережающего социально-экономического развития "Нижнекамск" при соответствии инвестиционного проекта Требованиям, в том числе не менее 2,5 миллиона рублей - в течение первого года после включения юридического лица в реестр резидентов территорий опережающего развития;</w:t>
      </w:r>
    </w:p>
    <w:p>
      <w:pPr>
        <w:pStyle w:val="a7"/>
        <w:spacing w:after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10 миллионов рублей на территории опережающего социально-экономического развития "Зеленодольск" при соответствии инвестиционного проекта Требованиям, в том числе не менее 2,5 миллиона рублей - в течение первого года после включения юридического лица в реестр резидентов территорий опережающего развития;</w:t>
      </w:r>
    </w:p>
    <w:p>
      <w:pPr>
        <w:pStyle w:val="a7"/>
        <w:spacing w:after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менее 2,5 миллиона рублей на территории опережающего социально-экономического развития "Чистополь" или территории опережающего социально-экономического развития "Менделеевск" в течение первого года после включения юридического лица в реестр резидентов территорий опережающего развития при соответствии инвестиционного проекта Требованиям.</w:t>
      </w:r>
    </w:p>
    <w:p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>
        <w:rPr>
          <w:sz w:val="28"/>
          <w:szCs w:val="28"/>
        </w:rPr>
        <w:t xml:space="preserve"> </w:t>
      </w:r>
    </w:p>
    <w:p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со дня его официального опубликования. </w:t>
      </w:r>
    </w:p>
    <w:p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>
      <w:pPr>
        <w:pStyle w:val="ConsPlusNormal"/>
        <w:spacing w:line="360" w:lineRule="auto"/>
        <w:ind w:firstLine="851"/>
        <w:rPr>
          <w:sz w:val="28"/>
          <w:szCs w:val="28"/>
        </w:rPr>
      </w:pPr>
    </w:p>
    <w:p>
      <w:pPr>
        <w:pStyle w:val="ConsPlusNormal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Раис</w:t>
      </w:r>
    </w:p>
    <w:p>
      <w:pPr>
        <w:pStyle w:val="ConsPlusNormal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Р.Н. Минниханов</w:t>
      </w:r>
    </w:p>
    <w:sectPr>
      <w:headerReference w:type="default" r:id="rId8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53866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C6C"/>
    <w:multiLevelType w:val="hybridMultilevel"/>
    <w:tmpl w:val="B9A454AC"/>
    <w:lvl w:ilvl="0" w:tplc="A78885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C7573F"/>
    <w:multiLevelType w:val="hybridMultilevel"/>
    <w:tmpl w:val="5DACE6E0"/>
    <w:lvl w:ilvl="0" w:tplc="884C41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FF2E49"/>
    <w:multiLevelType w:val="hybridMultilevel"/>
    <w:tmpl w:val="10668842"/>
    <w:lvl w:ilvl="0" w:tplc="EC3C6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B60617D"/>
    <w:multiLevelType w:val="hybridMultilevel"/>
    <w:tmpl w:val="D47C2252"/>
    <w:lvl w:ilvl="0" w:tplc="DD28FC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3CD6248"/>
    <w:multiLevelType w:val="hybridMultilevel"/>
    <w:tmpl w:val="F5B27348"/>
    <w:lvl w:ilvl="0" w:tplc="880CC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1E705-5799-4592-959B-1B524C39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055B-D6C7-4546-B48C-5D474919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 RT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Ляпахин Алексеевич</dc:creator>
  <cp:lastModifiedBy>Узбеков Шамиль Мохаммядиевич</cp:lastModifiedBy>
  <cp:revision>9</cp:revision>
  <cp:lastPrinted>2025-03-20T14:16:00Z</cp:lastPrinted>
  <dcterms:created xsi:type="dcterms:W3CDTF">2024-10-18T11:02:00Z</dcterms:created>
  <dcterms:modified xsi:type="dcterms:W3CDTF">2025-03-25T13:19:00Z</dcterms:modified>
</cp:coreProperties>
</file>