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ind w:left="7513" w:firstLine="709"/>
        <w:jc w:val="both"/>
        <w:spacing w:before="0" w:after="0" w:line="240" w:lineRule="auto"/>
        <w:rPr>
          <w:rStyle w:val="83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</w:t>
      </w:r>
      <w:r>
        <w:rPr>
          <w:rStyle w:val="830"/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30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ind w:firstLine="709"/>
        <w:jc w:val="both"/>
        <w:spacing w:before="0" w:after="0" w:line="240" w:lineRule="auto"/>
        <w:rPr>
          <w:rStyle w:val="830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Style w:val="830"/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Style w:val="830"/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795"/>
        <w:ind w:firstLine="709"/>
        <w:jc w:val="both"/>
        <w:spacing w:before="0" w:after="0" w:line="240" w:lineRule="auto"/>
        <w:rPr>
          <w:rStyle w:val="830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Style w:val="830"/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Style w:val="830"/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795"/>
        <w:ind w:firstLine="709"/>
        <w:jc w:val="both"/>
        <w:spacing w:before="0" w:after="0" w:line="240" w:lineRule="auto"/>
        <w:rPr>
          <w:rStyle w:val="830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Style w:val="830"/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Style w:val="830"/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795"/>
        <w:ind w:right="5243" w:firstLine="0"/>
        <w:jc w:val="both"/>
        <w:spacing w:before="0" w:after="0" w:line="240" w:lineRule="auto"/>
        <w:tabs>
          <w:tab w:val="clear" w:pos="708" w:leader="none"/>
          <w:tab w:val="left" w:pos="4820" w:leader="none"/>
          <w:tab w:val="left" w:pos="5387" w:leader="none"/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0.09.2016 № 661 «Об утверждении Положения о предоставлении грантов по поддержке ученых и преподавателей, осуществляющих научно-педагогическую деятельность по программам высшего и среднего профессионального образования в области русского языка и литературы»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709"/>
        <w:jc w:val="both"/>
        <w:spacing w:before="0" w:after="0" w:line="240" w:lineRule="auto"/>
        <w:tabs>
          <w:tab w:val="clear" w:pos="708" w:leader="none"/>
          <w:tab w:val="left" w:pos="4820" w:leader="none"/>
          <w:tab w:val="left" w:pos="5812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709"/>
        <w:jc w:val="both"/>
        <w:spacing w:before="0" w:after="0" w:line="240" w:lineRule="auto"/>
        <w:tabs>
          <w:tab w:val="clear" w:pos="708" w:leader="none"/>
          <w:tab w:val="left" w:pos="482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contextualSpacing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Кабинета Министров Республики Татарстан от 20.09.2016 № 661 «Об утверждении Положения о предоставлении грантов по поддержке ученых и преподавателей, осущ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ествляющих научно-педагогическую деятельность по программам высшего и среднего профессионального образования в области русского языка и литературы» (с изменениями, внесенными постановлениями Кабинета Министров Республики Татарстан от 12.02.2018 № 78, от 30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.01.2020 № 49, от 19.05.2020 № 408,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от 17.05.2021 № 337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795"/>
        <w:contextualSpacing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в преамбуле слова «государственной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2014-2022 годы», утвержденной </w:t>
      </w:r>
      <w:r>
        <w:rPr>
          <w:rStyle w:val="836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от 25.10.2013 № 794 «Об утверждении государственной программы «Сохранение, изучение и развитие государственных языков Республики Татарста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н и других языков в Республике Татарстан на 2014-2022 годы» заменить словами «государственной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</w:t>
      </w:r>
      <w:r>
        <w:rPr>
          <w:rStyle w:val="836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от 10.09.2020 № 821 «Об утверждении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5"/>
        <w:contextualSpacing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Положении о предоставлении грантов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поддержке ученых и преподавателей, осуществляющих научно-педагогическую деятельность по программам высшего и среднего профессионального образования в области русского языка и литературы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пункте 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слова «государственной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2014-2022 годы», утвержденной </w:t>
      </w:r>
      <w:r>
        <w:rPr>
          <w:rStyle w:val="836"/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от 25.10.2013 № 794 «Об утверждении государственной программы «Сохранение, изучение и развитие государственных языков Республики Татарста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н и других языков в Республике Татарстан на 2014-2022 годы» заменить словами «государственной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</w:t>
      </w:r>
      <w:r>
        <w:rPr>
          <w:rStyle w:val="836"/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от 10.09.2020 № 821 «Об утверждении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Татарстан»;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795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пункт 12 дополнить абзацами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795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не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6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находится в составляемых в рамках реализации полномочий, предусмотренных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главой VII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является иностранным агентом в соответствии с Федеральным законом </w:t>
        <w:br/>
        <w:t xml:space="preserve">от 14 июля 2022 года № 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5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абзац 7 пункта 23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  <w14:ligatures w14:val="none"/>
        </w:rPr>
      </w:r>
    </w:p>
    <w:p>
      <w:pPr>
        <w:pStyle w:val="795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согласие грантополучателя, лиц, получающих средства на основании договоров (соглашений), заключенных с грантополучателем (за исключением государственных (муницип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ествление в отношении их проверки Министерством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268¹ и 269²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Бюджетного кодекса Российской Федерации;»;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  <w14:ligatures w14:val="none"/>
        </w:rPr>
      </w:r>
    </w:p>
    <w:p>
      <w:pPr>
        <w:pStyle w:val="795"/>
        <w:ind w:left="0" w:right="0" w:firstLine="709"/>
        <w:jc w:val="both"/>
        <w:spacing w:before="0" w:after="0" w:line="56" w:lineRule="atLeast"/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абзац первый пункта 25 дополнить словами «</w:t>
      </w:r>
      <w:r>
        <w:rPr>
          <w:rStyle w:val="828"/>
          <w:rFonts w:ascii="Times New Roman" w:hAnsi="Times New Roman" w:eastAsia="Times New Roman" w:cs="Times New Roman"/>
          <w:strike w:val="0"/>
          <w:color w:val="111111"/>
          <w:sz w:val="28"/>
          <w:szCs w:val="28"/>
        </w:rPr>
        <w:t xml:space="preserve">до 15 января года, следующего за отчетным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color w:val="000000"/>
          <w:sz w:val="28"/>
          <w:szCs w:val="28"/>
          <w:highlight w:val="none"/>
        </w:rPr>
      </w:r>
    </w:p>
    <w:p>
      <w:pPr>
        <w:pStyle w:val="795"/>
        <w:contextualSpacing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contextualSpacing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contextualSpacing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5"/>
        <w:contextualSpacing/>
        <w:ind w:firstLine="0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  <w:tab w:val="left" w:pos="7703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Премьер-министр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795"/>
        <w:contextualSpacing/>
        <w:ind w:firstLine="0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 xml:space="preserve">    А.В.Песошин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766" w:right="907" w:bottom="1134" w:left="1134" w:header="709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3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96">
    <w:name w:val="Heading 1"/>
    <w:basedOn w:val="795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paragraph" w:styleId="797">
    <w:name w:val="Heading 2"/>
    <w:basedOn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8">
    <w:name w:val="Heading 3"/>
    <w:basedOn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9">
    <w:name w:val="Heading 4"/>
    <w:basedOn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6">
    <w:name w:val="Heading 2 Char"/>
    <w:uiPriority w:val="9"/>
    <w:qFormat/>
    <w:rPr>
      <w:rFonts w:ascii="Arial" w:hAnsi="Arial" w:eastAsia="Arial" w:cs="Arial"/>
      <w:sz w:val="34"/>
    </w:rPr>
  </w:style>
  <w:style w:type="character" w:styleId="80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0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4">
    <w:name w:val="Title Char"/>
    <w:uiPriority w:val="10"/>
    <w:qFormat/>
    <w:rPr>
      <w:sz w:val="48"/>
      <w:szCs w:val="48"/>
    </w:rPr>
  </w:style>
  <w:style w:type="character" w:styleId="815">
    <w:name w:val="Subtitle Char"/>
    <w:uiPriority w:val="11"/>
    <w:qFormat/>
    <w:rPr>
      <w:sz w:val="24"/>
      <w:szCs w:val="24"/>
    </w:rPr>
  </w:style>
  <w:style w:type="character" w:styleId="816">
    <w:name w:val="Quote Char"/>
    <w:uiPriority w:val="29"/>
    <w:qFormat/>
    <w:rPr>
      <w:i/>
    </w:rPr>
  </w:style>
  <w:style w:type="character" w:styleId="817">
    <w:name w:val="Intense Quote Char"/>
    <w:uiPriority w:val="30"/>
    <w:qFormat/>
    <w:rPr>
      <w:i/>
    </w:rPr>
  </w:style>
  <w:style w:type="character" w:styleId="818">
    <w:name w:val="Header Char"/>
    <w:uiPriority w:val="99"/>
    <w:qFormat/>
  </w:style>
  <w:style w:type="character" w:styleId="819">
    <w:name w:val="Footer Char"/>
    <w:uiPriority w:val="99"/>
    <w:qFormat/>
  </w:style>
  <w:style w:type="character" w:styleId="820">
    <w:name w:val="Caption Char"/>
    <w:uiPriority w:val="99"/>
    <w:qFormat/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character" w:styleId="822">
    <w:name w:val="Footnote Text Char"/>
    <w:uiPriority w:val="99"/>
    <w:qFormat/>
    <w:rPr>
      <w:sz w:val="18"/>
    </w:rPr>
  </w:style>
  <w:style w:type="character" w:styleId="823">
    <w:name w:val="Символ сноски"/>
    <w:uiPriority w:val="99"/>
    <w:unhideWhenUsed/>
    <w:qFormat/>
    <w:rPr>
      <w:vertAlign w:val="superscript"/>
    </w:rPr>
  </w:style>
  <w:style w:type="character" w:styleId="824">
    <w:name w:val="footnote reference"/>
    <w:rPr>
      <w:vertAlign w:val="superscript"/>
    </w:rPr>
  </w:style>
  <w:style w:type="character" w:styleId="825">
    <w:name w:val="Endnote Text Char"/>
    <w:uiPriority w:val="99"/>
    <w:qFormat/>
    <w:rPr>
      <w:sz w:val="20"/>
    </w:rPr>
  </w:style>
  <w:style w:type="character" w:styleId="82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7">
    <w:name w:val="endnote reference"/>
    <w:rPr>
      <w:vertAlign w:val="superscript"/>
    </w:rPr>
  </w:style>
  <w:style w:type="character" w:styleId="828">
    <w:name w:val="Основной шрифт абзаца"/>
    <w:uiPriority w:val="1"/>
    <w:unhideWhenUsed/>
    <w:qFormat/>
  </w:style>
  <w:style w:type="character" w:styleId="829">
    <w:name w:val="Заголовок 1 Знак"/>
    <w:uiPriority w:val="99"/>
    <w:qFormat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830">
    <w:name w:val="Гипертекстовая ссылка"/>
    <w:uiPriority w:val="99"/>
    <w:qFormat/>
    <w:rPr>
      <w:b/>
      <w:color w:val="008000"/>
    </w:rPr>
  </w:style>
  <w:style w:type="character" w:styleId="83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832">
    <w:name w:val="Верхний колонтитул Знак"/>
    <w:uiPriority w:val="99"/>
    <w:qFormat/>
    <w:rPr>
      <w:lang w:eastAsia="en-US"/>
    </w:rPr>
  </w:style>
  <w:style w:type="character" w:styleId="833">
    <w:name w:val="Нижний колонтитул Знак"/>
    <w:uiPriority w:val="99"/>
    <w:qFormat/>
    <w:rPr>
      <w:lang w:eastAsia="en-US"/>
    </w:rPr>
  </w:style>
  <w:style w:type="character" w:styleId="834">
    <w:name w:val="Гиперссылка"/>
    <w:uiPriority w:val="99"/>
    <w:unhideWhenUsed/>
    <w:qFormat/>
    <w:rPr>
      <w:color w:val="0000ff"/>
      <w:u w:val="single"/>
    </w:rPr>
  </w:style>
  <w:style w:type="character" w:styleId="835" w:default="1">
    <w:name w:val="Default Paragraph Font"/>
    <w:uiPriority w:val="1"/>
    <w:semiHidden/>
    <w:unhideWhenUsed/>
    <w:qFormat/>
  </w:style>
  <w:style w:type="character" w:styleId="836">
    <w:name w:val="Emphasis"/>
    <w:qFormat/>
    <w:rPr>
      <w:i/>
      <w:iCs/>
    </w:rPr>
  </w:style>
  <w:style w:type="paragraph" w:styleId="837">
    <w:name w:val="Заголовок"/>
    <w:basedOn w:val="795"/>
    <w:next w:val="8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8">
    <w:name w:val="Body Text"/>
    <w:basedOn w:val="795"/>
    <w:pPr>
      <w:spacing w:before="0" w:after="140" w:line="276" w:lineRule="auto"/>
    </w:pPr>
  </w:style>
  <w:style w:type="paragraph" w:styleId="839">
    <w:name w:val="List"/>
    <w:basedOn w:val="838"/>
    <w:rPr>
      <w:rFonts w:ascii="PT Astra Serif" w:hAnsi="PT Astra Serif" w:cs="Noto Sans Devanagari"/>
    </w:rPr>
  </w:style>
  <w:style w:type="paragraph" w:styleId="840">
    <w:name w:val="Caption"/>
    <w:basedOn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1">
    <w:name w:val="Указатель"/>
    <w:basedOn w:val="795"/>
    <w:qFormat/>
    <w:pPr>
      <w:suppressLineNumbers/>
    </w:pPr>
    <w:rPr>
      <w:rFonts w:ascii="PT Astra Serif" w:hAnsi="PT Astra Serif" w:cs="Noto Sans Devanagari"/>
    </w:rPr>
  </w:style>
  <w:style w:type="paragraph" w:styleId="842">
    <w:name w:val="List Paragraph"/>
    <w:basedOn w:val="795"/>
    <w:uiPriority w:val="34"/>
    <w:qFormat/>
    <w:pPr>
      <w:contextualSpacing/>
      <w:ind w:left="720" w:firstLine="0"/>
      <w:spacing w:before="0" w:after="0"/>
    </w:pPr>
  </w:style>
  <w:style w:type="paragraph" w:styleId="84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4">
    <w:name w:val="Title"/>
    <w:basedOn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5">
    <w:name w:val="Subtitle"/>
    <w:basedOn w:val="795"/>
    <w:uiPriority w:val="11"/>
    <w:qFormat/>
    <w:pPr>
      <w:spacing w:before="200" w:after="200"/>
    </w:pPr>
    <w:rPr>
      <w:sz w:val="24"/>
      <w:szCs w:val="24"/>
    </w:rPr>
  </w:style>
  <w:style w:type="paragraph" w:styleId="846">
    <w:name w:val="Quote"/>
    <w:basedOn w:val="795"/>
    <w:uiPriority w:val="29"/>
    <w:qFormat/>
    <w:pPr>
      <w:ind w:left="720" w:right="720" w:firstLine="0"/>
    </w:pPr>
    <w:rPr>
      <w:i/>
    </w:rPr>
  </w:style>
  <w:style w:type="paragraph" w:styleId="847">
    <w:name w:val="Intense Quote"/>
    <w:basedOn w:val="795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8">
    <w:name w:val="Колонтитул"/>
    <w:basedOn w:val="795"/>
    <w:qFormat/>
  </w:style>
  <w:style w:type="paragraph" w:styleId="849">
    <w:name w:val="Header"/>
    <w:basedOn w:val="7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0">
    <w:name w:val="Footer"/>
    <w:basedOn w:val="7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1">
    <w:name w:val="footnote text"/>
    <w:basedOn w:val="79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2">
    <w:name w:val="endnote text"/>
    <w:basedOn w:val="79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3">
    <w:name w:val="toc 1"/>
    <w:basedOn w:val="795"/>
    <w:uiPriority w:val="39"/>
    <w:unhideWhenUsed/>
    <w:pPr>
      <w:ind w:left="0" w:right="0" w:firstLine="0"/>
      <w:spacing w:before="0" w:after="57"/>
    </w:pPr>
  </w:style>
  <w:style w:type="paragraph" w:styleId="854">
    <w:name w:val="toc 2"/>
    <w:basedOn w:val="795"/>
    <w:uiPriority w:val="39"/>
    <w:unhideWhenUsed/>
    <w:pPr>
      <w:ind w:left="283" w:right="0" w:firstLine="0"/>
      <w:spacing w:before="0" w:after="57"/>
    </w:pPr>
  </w:style>
  <w:style w:type="paragraph" w:styleId="855">
    <w:name w:val="toc 3"/>
    <w:basedOn w:val="795"/>
    <w:uiPriority w:val="39"/>
    <w:unhideWhenUsed/>
    <w:pPr>
      <w:ind w:left="567" w:right="0" w:firstLine="0"/>
      <w:spacing w:before="0" w:after="57"/>
    </w:pPr>
  </w:style>
  <w:style w:type="paragraph" w:styleId="856">
    <w:name w:val="toc 4"/>
    <w:basedOn w:val="795"/>
    <w:uiPriority w:val="39"/>
    <w:unhideWhenUsed/>
    <w:pPr>
      <w:ind w:left="850" w:right="0" w:firstLine="0"/>
      <w:spacing w:before="0" w:after="57"/>
    </w:pPr>
  </w:style>
  <w:style w:type="paragraph" w:styleId="857">
    <w:name w:val="toc 5"/>
    <w:basedOn w:val="795"/>
    <w:uiPriority w:val="39"/>
    <w:unhideWhenUsed/>
    <w:pPr>
      <w:ind w:left="1134" w:right="0" w:firstLine="0"/>
      <w:spacing w:before="0" w:after="57"/>
    </w:pPr>
  </w:style>
  <w:style w:type="paragraph" w:styleId="858">
    <w:name w:val="toc 6"/>
    <w:basedOn w:val="795"/>
    <w:uiPriority w:val="39"/>
    <w:unhideWhenUsed/>
    <w:pPr>
      <w:ind w:left="1417" w:right="0" w:firstLine="0"/>
      <w:spacing w:before="0" w:after="57"/>
    </w:pPr>
  </w:style>
  <w:style w:type="paragraph" w:styleId="859">
    <w:name w:val="toc 7"/>
    <w:basedOn w:val="795"/>
    <w:uiPriority w:val="39"/>
    <w:unhideWhenUsed/>
    <w:pPr>
      <w:ind w:left="1701" w:right="0" w:firstLine="0"/>
      <w:spacing w:before="0" w:after="57"/>
    </w:pPr>
  </w:style>
  <w:style w:type="paragraph" w:styleId="860">
    <w:name w:val="toc 8"/>
    <w:basedOn w:val="795"/>
    <w:uiPriority w:val="39"/>
    <w:unhideWhenUsed/>
    <w:pPr>
      <w:ind w:left="1984" w:right="0" w:firstLine="0"/>
      <w:spacing w:before="0" w:after="57"/>
    </w:pPr>
  </w:style>
  <w:style w:type="paragraph" w:styleId="861">
    <w:name w:val="toc 9"/>
    <w:basedOn w:val="795"/>
    <w:uiPriority w:val="39"/>
    <w:unhideWhenUsed/>
    <w:pPr>
      <w:ind w:left="2268" w:right="0" w:firstLine="0"/>
      <w:spacing w:before="0" w:after="57"/>
    </w:pPr>
  </w:style>
  <w:style w:type="paragraph" w:styleId="862">
    <w:name w:val="Index Heading"/>
    <w:basedOn w:val="837"/>
  </w:style>
  <w:style w:type="paragraph" w:styleId="86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4">
    <w:name w:val="table of figures"/>
    <w:basedOn w:val="795"/>
    <w:uiPriority w:val="99"/>
    <w:unhideWhenUsed/>
    <w:qFormat/>
    <w:pPr>
      <w:spacing w:before="0" w:after="0" w:afterAutospacing="0"/>
    </w:pPr>
  </w:style>
  <w:style w:type="paragraph" w:styleId="865">
    <w:name w:val="Обычный (веб)"/>
    <w:basedOn w:val="795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Абзац списка"/>
    <w:basedOn w:val="795"/>
    <w:uiPriority w:val="99"/>
    <w:qFormat/>
    <w:pPr>
      <w:contextualSpacing/>
      <w:ind w:left="720" w:firstLine="0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67">
    <w:name w:val="Текст выноски"/>
    <w:basedOn w:val="795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68">
    <w:name w:val="ConsPlusTitle"/>
    <w:uiPriority w:val="99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bCs/>
      <w:color w:val="auto"/>
      <w:sz w:val="22"/>
      <w:szCs w:val="22"/>
      <w:lang w:val="ru-RU" w:eastAsia="ru-RU" w:bidi="ar-SA"/>
    </w:rPr>
  </w:style>
  <w:style w:type="paragraph" w:styleId="869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 w:asciiTheme="minorHAnsi" w:hAnsiTheme="minorHAnsi"/>
      <w:color w:val="auto"/>
      <w:sz w:val="21"/>
      <w:szCs w:val="20"/>
      <w:lang w:val="ru-RU" w:eastAsia="ru-RU" w:bidi="ar-SA"/>
    </w:rPr>
  </w:style>
  <w:style w:type="numbering" w:styleId="870">
    <w:name w:val="Нет списка"/>
    <w:uiPriority w:val="99"/>
    <w:semiHidden/>
    <w:unhideWhenUsed/>
    <w:qFormat/>
  </w:style>
  <w:style w:type="numbering" w:styleId="871" w:default="1">
    <w:name w:val="No List"/>
    <w:uiPriority w:val="99"/>
    <w:semiHidden/>
    <w:unhideWhenUsed/>
    <w:qFormat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Giniatova</dc:creator>
  <dc:description/>
  <dc:language>ru-RU</dc:language>
  <cp:revision>10</cp:revision>
  <dcterms:created xsi:type="dcterms:W3CDTF">2020-04-06T14:46:00Z</dcterms:created>
  <dcterms:modified xsi:type="dcterms:W3CDTF">2025-03-03T09:16:00Z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