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right="5810"/>
        <w:jc w:val="both"/>
        <w:rPr>
          <w:rFonts w:ascii="Times New Roman" w:hAnsi="Times New Roman" w:cs="Times New Roman"/>
          <w:sz w:val="28"/>
          <w:szCs w:val="28"/>
        </w:rPr>
      </w:pPr>
      <w:bookmarkStart w:id="0" w:name="_GoBack"/>
      <w:bookmarkEnd w:id="0"/>
    </w:p>
    <w:p>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pPr>
        <w:spacing w:after="0" w:line="240" w:lineRule="auto"/>
        <w:jc w:val="right"/>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w:t>
      </w: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 2025 № _____</w:t>
      </w: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p>
    <w:p>
      <w:pPr>
        <w:spacing w:after="0" w:line="240" w:lineRule="auto"/>
        <w:ind w:right="5811"/>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региональном государственном контроле (надзоре) в области долевого строительства многоквартирных домов и (или) иных объектов недвижимости, утвержденное постановлением Кабинета Министров Республики Татарстан от 02.10.2021 № 944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p>
    <w:p>
      <w:pPr>
        <w:spacing w:after="0" w:line="240" w:lineRule="auto"/>
        <w:ind w:right="5527"/>
        <w:jc w:val="both"/>
        <w:rPr>
          <w:rFonts w:ascii="Times New Roman" w:eastAsia="Times New Roman" w:hAnsi="Times New Roman" w:cs="Times New Roman"/>
          <w:sz w:val="28"/>
          <w:szCs w:val="28"/>
          <w:lang w:eastAsia="ru-RU"/>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 ПОСТАНОВЛЯЕТ:</w:t>
      </w:r>
    </w:p>
    <w:p>
      <w:pPr>
        <w:spacing w:after="0" w:line="240" w:lineRule="auto"/>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положение о региональном государственном контроле (надзоре) в области долевого строительства многоквартирных домов и (или) иных объектов недвижимости, утвержденное постановлением Кабинета Министров Республики Татарстан от 02.10.2021 № 944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(с изменениями, внесенными постановлениями Кабинета Министров Республики Татарстан от 28.02.2022 № 174, от 03.08.2022 № 754, от 29.03.2023 № 374, от 08.11.2023 № 1439), следующие изменения:</w:t>
      </w:r>
    </w:p>
    <w:p>
      <w:pPr>
        <w:spacing w:after="0" w:line="240" w:lineRule="auto"/>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I:</w:t>
      </w:r>
    </w:p>
    <w:p>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абзац четвертый пункта 1.4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начальник отдела по контролю за долевым строительством (далее - отдел), ведущий консультант отдела, старший специалист 1 категории, старший специалист отдела (далее - инспектор).»;</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I</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абзац четвертый пункта 4.3 признать утратившим силу;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4.6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Профилактический визит осуществляется в соответствии со </w:t>
      </w:r>
      <w:hyperlink r:id="rId8" w:history="1">
        <w:r>
          <w:rPr>
            <w:rFonts w:ascii="Times New Roman" w:eastAsia="Times New Roman" w:hAnsi="Times New Roman" w:cs="Times New Roman"/>
            <w:sz w:val="28"/>
            <w:szCs w:val="28"/>
            <w:lang w:eastAsia="ru-RU"/>
          </w:rPr>
          <w:t>статьей 52</w:t>
        </w:r>
      </w:hyperlink>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4.6.1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 Обязательный профилактический визит осуществляется в соответствии со статьей 52</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document/74449814/entry/90" w:history="1">
        <w:r>
          <w:rPr>
            <w:rFonts w:ascii="Times New Roman" w:eastAsia="Times New Roman" w:hAnsi="Times New Roman" w:cs="Times New Roman"/>
            <w:sz w:val="28"/>
            <w:szCs w:val="28"/>
            <w:lang w:eastAsia="ru-RU"/>
          </w:rPr>
          <w:t>статьей 90</w:t>
        </w:r>
      </w:hyperlink>
      <w:r>
        <w:rPr>
          <w:rFonts w:ascii="Times New Roman" w:eastAsia="Times New Roman" w:hAnsi="Times New Roman" w:cs="Times New Roman"/>
          <w:sz w:val="28"/>
          <w:szCs w:val="28"/>
          <w:lang w:eastAsia="ru-RU"/>
        </w:rPr>
        <w:t>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document/74449814/entry/88" w:history="1">
        <w:r>
          <w:rPr>
            <w:rFonts w:ascii="Times New Roman" w:eastAsia="Times New Roman" w:hAnsi="Times New Roman" w:cs="Times New Roman"/>
            <w:sz w:val="28"/>
            <w:szCs w:val="28"/>
            <w:lang w:eastAsia="ru-RU"/>
          </w:rPr>
          <w:t>статьей 88</w:t>
        </w:r>
      </w:hyperlink>
      <w:r>
        <w:rPr>
          <w:rFonts w:ascii="Times New Roman" w:eastAsia="Times New Roman" w:hAnsi="Times New Roman" w:cs="Times New Roman"/>
          <w:sz w:val="28"/>
          <w:szCs w:val="28"/>
          <w:lang w:eastAsia="ru-RU"/>
        </w:rPr>
        <w:t>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w:t>
      </w:r>
      <w:r>
        <w:rPr>
          <w:rFonts w:ascii="Times New Roman" w:eastAsia="Times New Roman" w:hAnsi="Times New Roman" w:cs="Times New Roman"/>
          <w:sz w:val="28"/>
          <w:szCs w:val="28"/>
          <w:lang w:eastAsia="ru-RU"/>
        </w:rPr>
        <w:lastRenderedPageBreak/>
        <w:t>окончания проведения обязательного профилактического визита в порядке, предусмотренном </w:t>
      </w:r>
      <w:hyperlink r:id="rId11" w:anchor="/document/74449814/entry/9010" w:history="1">
        <w:r>
          <w:rPr>
            <w:rFonts w:ascii="Times New Roman" w:eastAsia="Times New Roman" w:hAnsi="Times New Roman" w:cs="Times New Roman"/>
            <w:sz w:val="28"/>
            <w:szCs w:val="28"/>
            <w:lang w:eastAsia="ru-RU"/>
          </w:rPr>
          <w:t>статьей 90</w:t>
        </w:r>
      </w:hyperlink>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4.6.2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 Профилактический визит осуществляется по инициативе контролируемого лица в соответствии со статьей 52</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пункте 5.2:</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подпункт 1 изложить в следующей редакции:</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наличие у контролирующего органа сведений о причинении вреда (ущерба) или об угрозе причинения вреда (ущерба) охраняемым законом ценностям с учетом положений </w:t>
      </w:r>
      <w:hyperlink r:id="rId12" w:anchor="/document/74449814/entry/60" w:history="1">
        <w:r>
          <w:rPr>
            <w:rFonts w:ascii="Times New Roman" w:eastAsia="Times New Roman" w:hAnsi="Times New Roman" w:cs="Times New Roman"/>
            <w:color w:val="000000"/>
            <w:sz w:val="28"/>
            <w:szCs w:val="28"/>
            <w:lang w:eastAsia="ru-RU"/>
          </w:rPr>
          <w:t>статьи 60</w:t>
        </w:r>
      </w:hyperlink>
      <w:r>
        <w:rPr>
          <w:rFonts w:ascii="Times New Roman" w:eastAsia="Times New Roman" w:hAnsi="Times New Roman" w:cs="Times New Roman"/>
          <w:color w:val="000000"/>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дополнить подпунктом 6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выявление соответствия объекта контроля параметрам, утвержденным </w:t>
      </w:r>
      <w:hyperlink r:id="rId13" w:anchor="/multilink/74449814/paragraph/385166/number/0" w:history="1">
        <w:r>
          <w:rPr>
            <w:rFonts w:ascii="Times New Roman" w:eastAsia="Times New Roman" w:hAnsi="Times New Roman" w:cs="Times New Roman"/>
            <w:color w:val="000000"/>
            <w:sz w:val="28"/>
            <w:szCs w:val="28"/>
            <w:lang w:eastAsia="ru-RU"/>
          </w:rPr>
          <w:t>индикаторами</w:t>
        </w:r>
      </w:hyperlink>
      <w:r>
        <w:rPr>
          <w:rFonts w:ascii="Times New Roman" w:eastAsia="Times New Roman" w:hAnsi="Times New Roman" w:cs="Times New Roman"/>
          <w:color w:val="000000"/>
          <w:sz w:val="28"/>
          <w:szCs w:val="28"/>
          <w:lang w:eastAsia="ru-RU"/>
        </w:rPr>
        <w:t> риска нарушения обязательных требований, или отклонения объекта контроля от таких параметров;»;</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дополнить подпунктом 7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уклонение контролируемого лица от проведения обязательного профилактического визита.»;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абзаце седьмом слова «проводится без согласования с органами прокуратуры» заменить словами «может проводиться только по согласованию с органами прокуратуры, за исключением случая ее проведения в соответствии с </w:t>
      </w:r>
      <w:hyperlink r:id="rId14" w:anchor="/document/74449814/entry/570103" w:history="1">
        <w:r>
          <w:rPr>
            <w:rFonts w:ascii="Times New Roman" w:eastAsia="Times New Roman" w:hAnsi="Times New Roman" w:cs="Times New Roman"/>
            <w:color w:val="000000"/>
            <w:sz w:val="28"/>
            <w:szCs w:val="28"/>
            <w:lang w:eastAsia="ru-RU"/>
          </w:rPr>
          <w:t>пунктами 3</w:t>
        </w:r>
      </w:hyperlink>
      <w:r>
        <w:rPr>
          <w:rFonts w:ascii="Times New Roman" w:eastAsia="Times New Roman" w:hAnsi="Times New Roman" w:cs="Times New Roman"/>
          <w:color w:val="000000"/>
          <w:sz w:val="28"/>
          <w:szCs w:val="28"/>
          <w:lang w:eastAsia="ru-RU"/>
        </w:rPr>
        <w:t>, </w:t>
      </w:r>
      <w:hyperlink r:id="rId15" w:anchor="/document/74449814/entry/570104" w:history="1">
        <w:r>
          <w:rPr>
            <w:rFonts w:ascii="Times New Roman" w:eastAsia="Times New Roman" w:hAnsi="Times New Roman" w:cs="Times New Roman"/>
            <w:color w:val="000000"/>
            <w:sz w:val="28"/>
            <w:szCs w:val="28"/>
            <w:lang w:eastAsia="ru-RU"/>
          </w:rPr>
          <w:t>4</w:t>
        </w:r>
      </w:hyperlink>
      <w:r>
        <w:rPr>
          <w:rFonts w:ascii="Times New Roman" w:eastAsia="Times New Roman" w:hAnsi="Times New Roman" w:cs="Times New Roman"/>
          <w:color w:val="000000"/>
          <w:sz w:val="28"/>
          <w:szCs w:val="28"/>
          <w:lang w:eastAsia="ru-RU"/>
        </w:rPr>
        <w:t>, </w:t>
      </w:r>
      <w:hyperlink r:id="rId16" w:anchor="/document/74449814/entry/570106" w:history="1">
        <w:r>
          <w:rPr>
            <w:rFonts w:ascii="Times New Roman" w:eastAsia="Times New Roman" w:hAnsi="Times New Roman" w:cs="Times New Roman"/>
            <w:color w:val="000000"/>
            <w:sz w:val="28"/>
            <w:szCs w:val="28"/>
            <w:lang w:eastAsia="ru-RU"/>
          </w:rPr>
          <w:t>6</w:t>
        </w:r>
      </w:hyperlink>
      <w:r>
        <w:rPr>
          <w:rFonts w:ascii="Times New Roman" w:eastAsia="Times New Roman" w:hAnsi="Times New Roman" w:cs="Times New Roman"/>
          <w:color w:val="000000"/>
          <w:sz w:val="28"/>
          <w:szCs w:val="28"/>
          <w:lang w:eastAsia="ru-RU"/>
        </w:rPr>
        <w:t>, </w:t>
      </w:r>
      <w:hyperlink r:id="rId17" w:anchor="/document/74449814/entry/570108" w:history="1">
        <w:r>
          <w:rPr>
            <w:rFonts w:ascii="Times New Roman" w:eastAsia="Times New Roman" w:hAnsi="Times New Roman" w:cs="Times New Roman"/>
            <w:color w:val="000000"/>
            <w:sz w:val="28"/>
            <w:szCs w:val="28"/>
            <w:lang w:eastAsia="ru-RU"/>
          </w:rPr>
          <w:t>8 части 1 статьи 57</w:t>
        </w:r>
      </w:hyperlink>
      <w:r>
        <w:rPr>
          <w:rFonts w:ascii="Times New Roman" w:eastAsia="Times New Roman" w:hAnsi="Times New Roman" w:cs="Times New Roman"/>
          <w:color w:val="000000"/>
          <w:sz w:val="28"/>
          <w:szCs w:val="28"/>
          <w:lang w:eastAsia="ru-RU"/>
        </w:rPr>
        <w:t>  Федерального закона № 248-ФЗ»;</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абзац девятый пункта 5.8 изложить в следующей редакции: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5.9 изложить в следующей редакции:</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 Контрольный (надзорный) орган при поступлении сведений, предусмотренных </w:t>
      </w:r>
      <w:hyperlink r:id="rId18" w:anchor="/document/74449814/entry/60001" w:history="1">
        <w:r>
          <w:rPr>
            <w:rFonts w:ascii="Times New Roman" w:eastAsia="Times New Roman" w:hAnsi="Times New Roman" w:cs="Times New Roman"/>
            <w:color w:val="000000"/>
            <w:sz w:val="28"/>
            <w:szCs w:val="28"/>
            <w:lang w:eastAsia="ru-RU"/>
          </w:rPr>
          <w:t>частью 1 статьи 60</w:t>
        </w:r>
      </w:hyperlink>
      <w:r>
        <w:rPr>
          <w:rFonts w:ascii="Times New Roman" w:eastAsia="Times New Roman" w:hAnsi="Times New Roman" w:cs="Times New Roman"/>
          <w:color w:val="000000"/>
          <w:sz w:val="28"/>
          <w:szCs w:val="28"/>
          <w:lang w:eastAsia="ru-RU"/>
        </w:rPr>
        <w:t>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anchor="/document/74449814/entry/6605" w:history="1">
        <w:r>
          <w:rPr>
            <w:rFonts w:ascii="Times New Roman" w:eastAsia="Times New Roman" w:hAnsi="Times New Roman" w:cs="Times New Roman"/>
            <w:color w:val="000000"/>
            <w:sz w:val="28"/>
            <w:szCs w:val="28"/>
            <w:lang w:eastAsia="ru-RU"/>
          </w:rPr>
          <w:t>частью 5</w:t>
        </w:r>
      </w:hyperlink>
      <w:r>
        <w:rPr>
          <w:rFonts w:ascii="Times New Roman" w:eastAsia="Times New Roman" w:hAnsi="Times New Roman" w:cs="Times New Roman"/>
          <w:color w:val="000000"/>
          <w:sz w:val="28"/>
          <w:szCs w:val="28"/>
          <w:lang w:eastAsia="ru-RU"/>
        </w:rPr>
        <w:t> настоящей статьи 66 Федерального закона № 248-ФЗ. В этом случае контролируемое лицо может не уведомляться о проведении внепланового контрольного (надзорного) мероприятия.»;</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абзаце седьмом пункта 5.12 слово «отчет» заменить словом «акт»;</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6.1 дополнить абзацами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20" w:anchor="/document/74449814/entry/8802" w:history="1">
        <w:r>
          <w:rPr>
            <w:rFonts w:ascii="Times New Roman" w:eastAsia="Times New Roman" w:hAnsi="Times New Roman" w:cs="Times New Roman"/>
            <w:sz w:val="28"/>
            <w:szCs w:val="28"/>
            <w:lang w:eastAsia="ru-RU"/>
          </w:rPr>
          <w:t>частью 2</w:t>
        </w:r>
      </w:hyperlink>
      <w:r>
        <w:rPr>
          <w:rFonts w:ascii="Times New Roman" w:eastAsia="Times New Roman" w:hAnsi="Times New Roman" w:cs="Times New Roman"/>
          <w:sz w:val="28"/>
          <w:szCs w:val="28"/>
          <w:lang w:eastAsia="ru-RU"/>
        </w:rPr>
        <w:t>  статьи 88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anchor="/document/74449814/entry/650106" w:history="1">
        <w:r>
          <w:rPr>
            <w:rFonts w:ascii="Times New Roman" w:eastAsia="Times New Roman" w:hAnsi="Times New Roman" w:cs="Times New Roman"/>
            <w:sz w:val="28"/>
            <w:szCs w:val="28"/>
            <w:lang w:eastAsia="ru-RU"/>
          </w:rPr>
          <w:t>пунктами 6 - 9 части 1 статьи 65</w:t>
        </w:r>
      </w:hyperlink>
      <w:r>
        <w:rPr>
          <w:rFonts w:ascii="Times New Roman" w:eastAsia="Times New Roman" w:hAnsi="Times New Roman" w:cs="Times New Roman"/>
          <w:sz w:val="28"/>
          <w:szCs w:val="28"/>
          <w:lang w:eastAsia="ru-RU"/>
        </w:rPr>
        <w:t>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w:t>
      </w:r>
      <w:hyperlink r:id="rId22" w:anchor="/document/74449814/entry/21" w:history="1">
        <w:r>
          <w:rPr>
            <w:rFonts w:ascii="Times New Roman" w:eastAsia="Times New Roman" w:hAnsi="Times New Roman" w:cs="Times New Roman"/>
            <w:sz w:val="28"/>
            <w:szCs w:val="28"/>
            <w:lang w:eastAsia="ru-RU"/>
          </w:rPr>
          <w:t>статьей 21</w:t>
        </w:r>
      </w:hyperlink>
      <w:r>
        <w:rPr>
          <w:rFonts w:ascii="Times New Roman" w:eastAsia="Times New Roman" w:hAnsi="Times New Roman" w:cs="Times New Roman"/>
          <w:sz w:val="28"/>
          <w:szCs w:val="28"/>
          <w:lang w:eastAsia="ru-RU"/>
        </w:rPr>
        <w:t>  Федерального закона№ 248-ФЗ .</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3" w:anchor="/document/74449814/entry/8703" w:history="1">
        <w:r>
          <w:rPr>
            <w:rFonts w:ascii="Times New Roman" w:eastAsia="Times New Roman" w:hAnsi="Times New Roman" w:cs="Times New Roman"/>
            <w:sz w:val="28"/>
            <w:szCs w:val="28"/>
            <w:lang w:eastAsia="ru-RU"/>
          </w:rPr>
          <w:t>частью 3 статьи 87</w:t>
        </w:r>
      </w:hyperlink>
      <w:r>
        <w:rPr>
          <w:rFonts w:ascii="Times New Roman" w:eastAsia="Times New Roman" w:hAnsi="Times New Roman" w:cs="Times New Roman"/>
          <w:sz w:val="28"/>
          <w:szCs w:val="28"/>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4" w:anchor="/document/74449814/entry/210502" w:history="1">
        <w:r>
          <w:rPr>
            <w:rFonts w:ascii="Times New Roman" w:eastAsia="Times New Roman" w:hAnsi="Times New Roman" w:cs="Times New Roman"/>
            <w:sz w:val="28"/>
            <w:szCs w:val="28"/>
            <w:lang w:eastAsia="ru-RU"/>
          </w:rPr>
          <w:t>пунктом 2 части 5 статьи 21</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6.2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V</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изложить в следующей редакции:</w:t>
      </w:r>
    </w:p>
    <w:p>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7"/>
      <w:r>
        <w:rPr>
          <w:rFonts w:ascii="Times New Roman CYR" w:eastAsiaTheme="minorEastAsia" w:hAnsi="Times New Roman CYR" w:cs="Times New Roman CYR"/>
          <w:b/>
          <w:bCs/>
          <w:color w:val="26282F"/>
          <w:sz w:val="28"/>
          <w:szCs w:val="28"/>
          <w:lang w:eastAsia="ru-RU"/>
        </w:rPr>
        <w:t>«VII. Обжалование решений контролирующих органов, действий (бездействия) их должност</w:t>
      </w:r>
      <w:r>
        <w:rPr>
          <w:rFonts w:ascii="Times New Roman CYR" w:eastAsiaTheme="minorEastAsia" w:hAnsi="Times New Roman CYR" w:cs="Times New Roman CYR"/>
          <w:b/>
          <w:bCs/>
          <w:color w:val="26282F"/>
          <w:sz w:val="24"/>
          <w:szCs w:val="24"/>
          <w:lang w:eastAsia="ru-RU"/>
        </w:rPr>
        <w:t>ных лиц</w:t>
      </w:r>
    </w:p>
    <w:bookmarkEnd w:id="1"/>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Правом на обжалование решений Инспекции,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25" w:anchor="/document/74449814/entry/4004" w:history="1">
        <w:r>
          <w:rPr>
            <w:rFonts w:ascii="Times New Roman" w:eastAsia="Times New Roman" w:hAnsi="Times New Roman" w:cs="Times New Roman"/>
            <w:sz w:val="28"/>
            <w:szCs w:val="28"/>
            <w:lang w:eastAsia="ru-RU"/>
          </w:rPr>
          <w:t>части 4 статьи 40</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Досудебный порядок подачи жалобы осуществляется в соответствии со </w:t>
      </w:r>
      <w:hyperlink r:id="rId26" w:anchor="/document/74449814/entry/40" w:history="1">
        <w:r>
          <w:rPr>
            <w:rFonts w:ascii="Times New Roman" w:eastAsia="Times New Roman" w:hAnsi="Times New Roman" w:cs="Times New Roman"/>
            <w:sz w:val="28"/>
            <w:szCs w:val="28"/>
            <w:lang w:eastAsia="ru-RU"/>
          </w:rPr>
          <w:t>статьей 40</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Жалоба, содержащая сведения и документы, составляющие </w:t>
      </w:r>
      <w:hyperlink r:id="rId27" w:anchor="/document/10102673/entry/5" w:history="1">
        <w:r>
          <w:rPr>
            <w:rFonts w:ascii="Times New Roman" w:eastAsia="Times New Roman" w:hAnsi="Times New Roman" w:cs="Times New Roman"/>
            <w:sz w:val="28"/>
            <w:szCs w:val="28"/>
            <w:lang w:eastAsia="ru-RU"/>
          </w:rPr>
          <w:t>государственную или иную охраняемую законом</w:t>
        </w:r>
      </w:hyperlink>
      <w:r>
        <w:rPr>
          <w:rFonts w:ascii="Times New Roman" w:eastAsia="Times New Roman" w:hAnsi="Times New Roman" w:cs="Times New Roman"/>
          <w:sz w:val="28"/>
          <w:szCs w:val="28"/>
          <w:lang w:eastAsia="ru-RU"/>
        </w:rPr>
        <w:t> тайну, подается контролируемым лицом в Инспекцию в письменном виде с учетом требований законодательства Российской Федерации о </w:t>
      </w:r>
      <w:hyperlink r:id="rId28" w:anchor="/document/10102673/entry/5" w:history="1">
        <w:r>
          <w:rPr>
            <w:rFonts w:ascii="Times New Roman" w:eastAsia="Times New Roman" w:hAnsi="Times New Roman" w:cs="Times New Roman"/>
            <w:sz w:val="28"/>
            <w:szCs w:val="28"/>
            <w:lang w:eastAsia="ru-RU"/>
          </w:rPr>
          <w:t>государственной тайне</w:t>
        </w:r>
      </w:hyperlink>
      <w:r>
        <w:rPr>
          <w:rFonts w:ascii="Times New Roman" w:eastAsia="Times New Roman" w:hAnsi="Times New Roman" w:cs="Times New Roman"/>
          <w:sz w:val="28"/>
          <w:szCs w:val="28"/>
          <w:lang w:eastAsia="ru-RU"/>
        </w:rPr>
        <w:t> и об иной охраняемой законом тайне.</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Жалоба на решение Инспекции,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Жалоба на предписание Инспекции может быть подана в течение 10 рабочих дней с момента получения контролируемым лицом предписания.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Требования к форме и содержанию жалобы установлены </w:t>
      </w:r>
      <w:hyperlink r:id="rId29" w:anchor="/document/74449814/entry/41" w:history="1">
        <w:r>
          <w:rPr>
            <w:rFonts w:ascii="Times New Roman" w:eastAsia="Times New Roman" w:hAnsi="Times New Roman" w:cs="Times New Roman"/>
            <w:sz w:val="28"/>
            <w:szCs w:val="28"/>
            <w:lang w:eastAsia="ru-RU"/>
          </w:rPr>
          <w:t>статьей 41</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Жалоба на решения должностных лиц Инспекции, действия (бездействие) должностных лиц Инспекции рассматривается начальником (первым заместителем начальника) Инспекции.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Инспекция принимает решение об отказе в рассмотрении жалобы в течение пяти рабочих дней со дня получения жалобы в случаях, указанных </w:t>
      </w:r>
      <w:hyperlink r:id="rId30" w:anchor="/document/74449814/entry/42" w:history="1">
        <w:r>
          <w:rPr>
            <w:rFonts w:ascii="Times New Roman" w:eastAsia="Times New Roman" w:hAnsi="Times New Roman" w:cs="Times New Roman"/>
            <w:sz w:val="28"/>
            <w:szCs w:val="28"/>
            <w:lang w:eastAsia="ru-RU"/>
          </w:rPr>
          <w:t>статьей 42</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Порядок рассмотрения жалобы и виды решений, принимаемых по результатам рассмотрения жалобы, определяются </w:t>
      </w:r>
      <w:hyperlink r:id="rId31" w:anchor="/document/74449814/entry/43" w:history="1">
        <w:r>
          <w:rPr>
            <w:rFonts w:ascii="Times New Roman" w:eastAsia="Times New Roman" w:hAnsi="Times New Roman" w:cs="Times New Roman"/>
            <w:sz w:val="28"/>
            <w:szCs w:val="28"/>
            <w:lang w:eastAsia="ru-RU"/>
          </w:rPr>
          <w:t>статьей 43</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7.10. Жалоба, поступившая в Инспекцию, рассматривается в течение 15 рабочих дней со дня ее регистрации в подсистеме досудебного обжалования.»;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8.1:</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абзацами пятым и шестым следующего содержания:</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&lt;=13,6 процента;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&lt;=13,4 процента.».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Премьер-министр</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Республики Татарстан                                                                                               А.В.Песошин</w:t>
      </w:r>
    </w:p>
    <w:sectPr>
      <w:headerReference w:type="default" r:id="rId3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67808"/>
      <w:docPartObj>
        <w:docPartGallery w:val="Page Numbers (Top of Page)"/>
        <w:docPartUnique/>
      </w:docPartObj>
    </w:sdtPr>
    <w:sdtEndPr>
      <w:rPr>
        <w:rFonts w:ascii="Times New Roman" w:hAnsi="Times New Roman" w:cs="Times New Roman"/>
        <w:sz w:val="28"/>
        <w:szCs w:val="28"/>
      </w:rPr>
    </w:sdtEndPr>
    <w:sdtContent>
      <w:p>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7</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D19"/>
    <w:multiLevelType w:val="hybridMultilevel"/>
    <w:tmpl w:val="01F440A0"/>
    <w:lvl w:ilvl="0" w:tplc="A3FA53FA">
      <w:start w:val="2"/>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CD3C79"/>
    <w:multiLevelType w:val="multilevel"/>
    <w:tmpl w:val="583E9482"/>
    <w:lvl w:ilvl="0">
      <w:start w:val="1"/>
      <w:numFmt w:val="decimal"/>
      <w:lvlText w:val="%1."/>
      <w:lvlJc w:val="left"/>
      <w:pPr>
        <w:ind w:left="450" w:hanging="450"/>
      </w:pPr>
      <w:rPr>
        <w:rFonts w:eastAsiaTheme="minorHAnsi" w:hint="default"/>
        <w:color w:val="000000"/>
      </w:rPr>
    </w:lvl>
    <w:lvl w:ilvl="1">
      <w:start w:val="2"/>
      <w:numFmt w:val="decimal"/>
      <w:lvlText w:val="%1.%2."/>
      <w:lvlJc w:val="left"/>
      <w:pPr>
        <w:ind w:left="1789" w:hanging="720"/>
      </w:pPr>
      <w:rPr>
        <w:rFonts w:eastAsiaTheme="minorHAnsi" w:hint="default"/>
        <w:color w:val="000000"/>
      </w:rPr>
    </w:lvl>
    <w:lvl w:ilvl="2">
      <w:start w:val="1"/>
      <w:numFmt w:val="decimal"/>
      <w:lvlText w:val="%1.%2.%3."/>
      <w:lvlJc w:val="left"/>
      <w:pPr>
        <w:ind w:left="2858" w:hanging="720"/>
      </w:pPr>
      <w:rPr>
        <w:rFonts w:eastAsiaTheme="minorHAnsi" w:hint="default"/>
        <w:color w:val="000000"/>
      </w:rPr>
    </w:lvl>
    <w:lvl w:ilvl="3">
      <w:start w:val="1"/>
      <w:numFmt w:val="decimal"/>
      <w:lvlText w:val="%1.%2.%3.%4."/>
      <w:lvlJc w:val="left"/>
      <w:pPr>
        <w:ind w:left="4287" w:hanging="1080"/>
      </w:pPr>
      <w:rPr>
        <w:rFonts w:eastAsiaTheme="minorHAnsi" w:hint="default"/>
        <w:color w:val="000000"/>
      </w:rPr>
    </w:lvl>
    <w:lvl w:ilvl="4">
      <w:start w:val="1"/>
      <w:numFmt w:val="decimal"/>
      <w:lvlText w:val="%1.%2.%3.%4.%5."/>
      <w:lvlJc w:val="left"/>
      <w:pPr>
        <w:ind w:left="5356" w:hanging="1080"/>
      </w:pPr>
      <w:rPr>
        <w:rFonts w:eastAsiaTheme="minorHAnsi" w:hint="default"/>
        <w:color w:val="000000"/>
      </w:rPr>
    </w:lvl>
    <w:lvl w:ilvl="5">
      <w:start w:val="1"/>
      <w:numFmt w:val="decimal"/>
      <w:lvlText w:val="%1.%2.%3.%4.%5.%6."/>
      <w:lvlJc w:val="left"/>
      <w:pPr>
        <w:ind w:left="6785" w:hanging="1440"/>
      </w:pPr>
      <w:rPr>
        <w:rFonts w:eastAsiaTheme="minorHAnsi" w:hint="default"/>
        <w:color w:val="000000"/>
      </w:rPr>
    </w:lvl>
    <w:lvl w:ilvl="6">
      <w:start w:val="1"/>
      <w:numFmt w:val="decimal"/>
      <w:lvlText w:val="%1.%2.%3.%4.%5.%6.%7."/>
      <w:lvlJc w:val="left"/>
      <w:pPr>
        <w:ind w:left="8214" w:hanging="1800"/>
      </w:pPr>
      <w:rPr>
        <w:rFonts w:eastAsiaTheme="minorHAnsi" w:hint="default"/>
        <w:color w:val="000000"/>
      </w:rPr>
    </w:lvl>
    <w:lvl w:ilvl="7">
      <w:start w:val="1"/>
      <w:numFmt w:val="decimal"/>
      <w:lvlText w:val="%1.%2.%3.%4.%5.%6.%7.%8."/>
      <w:lvlJc w:val="left"/>
      <w:pPr>
        <w:ind w:left="9283" w:hanging="1800"/>
      </w:pPr>
      <w:rPr>
        <w:rFonts w:eastAsiaTheme="minorHAnsi" w:hint="default"/>
        <w:color w:val="000000"/>
      </w:rPr>
    </w:lvl>
    <w:lvl w:ilvl="8">
      <w:start w:val="1"/>
      <w:numFmt w:val="decimal"/>
      <w:lvlText w:val="%1.%2.%3.%4.%5.%6.%7.%8.%9."/>
      <w:lvlJc w:val="left"/>
      <w:pPr>
        <w:ind w:left="10712" w:hanging="2160"/>
      </w:pPr>
      <w:rPr>
        <w:rFonts w:eastAsiaTheme="minorHAnsi" w:hint="default"/>
        <w:color w:val="000000"/>
      </w:rPr>
    </w:lvl>
  </w:abstractNum>
  <w:abstractNum w:abstractNumId="2" w15:restartNumberingAfterBreak="0">
    <w:nsid w:val="2D8A3B04"/>
    <w:multiLevelType w:val="hybridMultilevel"/>
    <w:tmpl w:val="84343246"/>
    <w:lvl w:ilvl="0" w:tplc="04190011">
      <w:start w:val="1"/>
      <w:numFmt w:val="decimal"/>
      <w:lvlText w:val="%1)"/>
      <w:lvlJc w:val="left"/>
      <w:pPr>
        <w:ind w:left="234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70EA2"/>
    <w:multiLevelType w:val="hybridMultilevel"/>
    <w:tmpl w:val="7A9078B6"/>
    <w:lvl w:ilvl="0" w:tplc="7556C4D4">
      <w:start w:val="1"/>
      <w:numFmt w:val="decimal"/>
      <w:lvlText w:val="%1)"/>
      <w:lvlJc w:val="left"/>
      <w:pPr>
        <w:ind w:left="284" w:firstLine="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775A83"/>
    <w:multiLevelType w:val="hybridMultilevel"/>
    <w:tmpl w:val="F27AB744"/>
    <w:lvl w:ilvl="0" w:tplc="B1E0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A25F59"/>
    <w:multiLevelType w:val="hybridMultilevel"/>
    <w:tmpl w:val="F67ECF80"/>
    <w:lvl w:ilvl="0" w:tplc="77BA8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EDF6BB8"/>
    <w:multiLevelType w:val="hybridMultilevel"/>
    <w:tmpl w:val="7BC0E3F6"/>
    <w:lvl w:ilvl="0" w:tplc="099CF18E">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8A6FBC"/>
    <w:multiLevelType w:val="hybridMultilevel"/>
    <w:tmpl w:val="7D521FD0"/>
    <w:lvl w:ilvl="0" w:tplc="CCF205FC">
      <w:start w:val="1"/>
      <w:numFmt w:val="decimal"/>
      <w:lvlText w:val="%1."/>
      <w:lvlJc w:val="left"/>
      <w:pPr>
        <w:ind w:left="7206" w:hanging="543"/>
        <w:jc w:val="right"/>
      </w:pPr>
      <w:rPr>
        <w:rFonts w:ascii="Times New Roman" w:eastAsia="Times New Roman" w:hAnsi="Times New Roman" w:cs="Times New Roman" w:hint="default"/>
        <w:spacing w:val="0"/>
        <w:w w:val="100"/>
        <w:sz w:val="28"/>
        <w:szCs w:val="28"/>
        <w:lang w:val="ru-RU" w:eastAsia="en-US" w:bidi="ar-SA"/>
      </w:rPr>
    </w:lvl>
    <w:lvl w:ilvl="1" w:tplc="1662F29A">
      <w:numFmt w:val="bullet"/>
      <w:lvlText w:val="•"/>
      <w:lvlJc w:val="left"/>
      <w:pPr>
        <w:ind w:left="7077" w:hanging="543"/>
      </w:pPr>
      <w:rPr>
        <w:rFonts w:hint="default"/>
        <w:lang w:val="ru-RU" w:eastAsia="en-US" w:bidi="ar-SA"/>
      </w:rPr>
    </w:lvl>
    <w:lvl w:ilvl="2" w:tplc="9BEC2754">
      <w:numFmt w:val="bullet"/>
      <w:lvlText w:val="•"/>
      <w:lvlJc w:val="left"/>
      <w:pPr>
        <w:ind w:left="8081" w:hanging="543"/>
      </w:pPr>
      <w:rPr>
        <w:rFonts w:hint="default"/>
        <w:lang w:val="ru-RU" w:eastAsia="en-US" w:bidi="ar-SA"/>
      </w:rPr>
    </w:lvl>
    <w:lvl w:ilvl="3" w:tplc="4E3CDF4E">
      <w:numFmt w:val="bullet"/>
      <w:lvlText w:val="•"/>
      <w:lvlJc w:val="left"/>
      <w:pPr>
        <w:ind w:left="9086" w:hanging="543"/>
      </w:pPr>
      <w:rPr>
        <w:rFonts w:hint="default"/>
        <w:lang w:val="ru-RU" w:eastAsia="en-US" w:bidi="ar-SA"/>
      </w:rPr>
    </w:lvl>
    <w:lvl w:ilvl="4" w:tplc="592C4ADC">
      <w:numFmt w:val="bullet"/>
      <w:lvlText w:val="•"/>
      <w:lvlJc w:val="left"/>
      <w:pPr>
        <w:ind w:left="10090" w:hanging="543"/>
      </w:pPr>
      <w:rPr>
        <w:rFonts w:hint="default"/>
        <w:lang w:val="ru-RU" w:eastAsia="en-US" w:bidi="ar-SA"/>
      </w:rPr>
    </w:lvl>
    <w:lvl w:ilvl="5" w:tplc="68E81490">
      <w:numFmt w:val="bullet"/>
      <w:lvlText w:val="•"/>
      <w:lvlJc w:val="left"/>
      <w:pPr>
        <w:ind w:left="11095" w:hanging="543"/>
      </w:pPr>
      <w:rPr>
        <w:rFonts w:hint="default"/>
        <w:lang w:val="ru-RU" w:eastAsia="en-US" w:bidi="ar-SA"/>
      </w:rPr>
    </w:lvl>
    <w:lvl w:ilvl="6" w:tplc="20DC03F8">
      <w:numFmt w:val="bullet"/>
      <w:lvlText w:val="•"/>
      <w:lvlJc w:val="left"/>
      <w:pPr>
        <w:ind w:left="12099" w:hanging="543"/>
      </w:pPr>
      <w:rPr>
        <w:rFonts w:hint="default"/>
        <w:lang w:val="ru-RU" w:eastAsia="en-US" w:bidi="ar-SA"/>
      </w:rPr>
    </w:lvl>
    <w:lvl w:ilvl="7" w:tplc="867CDAAA">
      <w:numFmt w:val="bullet"/>
      <w:lvlText w:val="•"/>
      <w:lvlJc w:val="left"/>
      <w:pPr>
        <w:ind w:left="13103" w:hanging="543"/>
      </w:pPr>
      <w:rPr>
        <w:rFonts w:hint="default"/>
        <w:lang w:val="ru-RU" w:eastAsia="en-US" w:bidi="ar-SA"/>
      </w:rPr>
    </w:lvl>
    <w:lvl w:ilvl="8" w:tplc="4364A6F8">
      <w:numFmt w:val="bullet"/>
      <w:lvlText w:val="•"/>
      <w:lvlJc w:val="left"/>
      <w:pPr>
        <w:ind w:left="14108" w:hanging="543"/>
      </w:pPr>
      <w:rPr>
        <w:rFonts w:hint="default"/>
        <w:lang w:val="ru-RU" w:eastAsia="en-US" w:bidi="ar-SA"/>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62B2-450F-453F-BAA9-47BED51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imes New Roman" w:hAnsi="Arial" w:cs="Arial"/>
      <w:b/>
      <w:bCs/>
      <w:color w:val="000080"/>
      <w:sz w:val="24"/>
      <w:szCs w:val="24"/>
      <w:lang w:eastAsia="ru-RU"/>
    </w:rPr>
  </w:style>
  <w:style w:type="character" w:customStyle="1" w:styleId="pt-a0">
    <w:name w:val="pt-a0"/>
  </w:style>
  <w:style w:type="paragraph" w:customStyle="1" w:styleId="pt-a-000005">
    <w:name w:val="pt-a-00000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styleId="a9">
    <w:name w:val="Emphasis"/>
    <w:basedOn w:val="a0"/>
    <w:uiPriority w:val="20"/>
    <w:qFormat/>
    <w:rPr>
      <w:i/>
      <w:iCs/>
    </w:rPr>
  </w:style>
  <w:style w:type="character" w:styleId="aa">
    <w:name w:val="Hyperlink"/>
    <w:basedOn w:val="a0"/>
    <w:uiPriority w:val="99"/>
    <w:semiHidden/>
    <w:unhideWhenUsed/>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2951">
      <w:bodyDiv w:val="1"/>
      <w:marLeft w:val="0"/>
      <w:marRight w:val="0"/>
      <w:marTop w:val="0"/>
      <w:marBottom w:val="0"/>
      <w:divBdr>
        <w:top w:val="none" w:sz="0" w:space="0" w:color="auto"/>
        <w:left w:val="none" w:sz="0" w:space="0" w:color="auto"/>
        <w:bottom w:val="none" w:sz="0" w:space="0" w:color="auto"/>
        <w:right w:val="none" w:sz="0" w:space="0" w:color="auto"/>
      </w:divBdr>
      <w:divsChild>
        <w:div w:id="1884438039">
          <w:marLeft w:val="0"/>
          <w:marRight w:val="0"/>
          <w:marTop w:val="240"/>
          <w:marBottom w:val="240"/>
          <w:divBdr>
            <w:top w:val="none" w:sz="0" w:space="0" w:color="auto"/>
            <w:left w:val="none" w:sz="0" w:space="0" w:color="auto"/>
            <w:bottom w:val="none" w:sz="0" w:space="0" w:color="auto"/>
            <w:right w:val="none" w:sz="0" w:space="0" w:color="auto"/>
          </w:divBdr>
        </w:div>
        <w:div w:id="215549526">
          <w:marLeft w:val="0"/>
          <w:marRight w:val="0"/>
          <w:marTop w:val="0"/>
          <w:marBottom w:val="0"/>
          <w:divBdr>
            <w:top w:val="none" w:sz="0" w:space="0" w:color="auto"/>
            <w:left w:val="none" w:sz="0" w:space="0" w:color="auto"/>
            <w:bottom w:val="none" w:sz="0" w:space="0" w:color="auto"/>
            <w:right w:val="none" w:sz="0" w:space="0" w:color="auto"/>
          </w:divBdr>
        </w:div>
        <w:div w:id="156658549">
          <w:marLeft w:val="0"/>
          <w:marRight w:val="0"/>
          <w:marTop w:val="0"/>
          <w:marBottom w:val="0"/>
          <w:divBdr>
            <w:top w:val="none" w:sz="0" w:space="0" w:color="auto"/>
            <w:left w:val="none" w:sz="0" w:space="0" w:color="auto"/>
            <w:bottom w:val="none" w:sz="0" w:space="0" w:color="auto"/>
            <w:right w:val="none" w:sz="0" w:space="0" w:color="auto"/>
          </w:divBdr>
        </w:div>
      </w:divsChild>
    </w:div>
    <w:div w:id="941106117">
      <w:bodyDiv w:val="1"/>
      <w:marLeft w:val="0"/>
      <w:marRight w:val="0"/>
      <w:marTop w:val="0"/>
      <w:marBottom w:val="0"/>
      <w:divBdr>
        <w:top w:val="none" w:sz="0" w:space="0" w:color="auto"/>
        <w:left w:val="none" w:sz="0" w:space="0" w:color="auto"/>
        <w:bottom w:val="none" w:sz="0" w:space="0" w:color="auto"/>
        <w:right w:val="none" w:sz="0" w:space="0" w:color="auto"/>
      </w:divBdr>
    </w:div>
    <w:div w:id="953172505">
      <w:bodyDiv w:val="1"/>
      <w:marLeft w:val="0"/>
      <w:marRight w:val="0"/>
      <w:marTop w:val="0"/>
      <w:marBottom w:val="0"/>
      <w:divBdr>
        <w:top w:val="none" w:sz="0" w:space="0" w:color="auto"/>
        <w:left w:val="none" w:sz="0" w:space="0" w:color="auto"/>
        <w:bottom w:val="none" w:sz="0" w:space="0" w:color="auto"/>
        <w:right w:val="none" w:sz="0" w:space="0" w:color="auto"/>
      </w:divBdr>
    </w:div>
    <w:div w:id="19730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document/redirect/7444981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1FE5-50C2-41FB-872E-F450247B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Булатова</cp:lastModifiedBy>
  <cp:revision>2</cp:revision>
  <dcterms:created xsi:type="dcterms:W3CDTF">2025-02-07T13:04:00Z</dcterms:created>
  <dcterms:modified xsi:type="dcterms:W3CDTF">2025-02-07T13:04:00Z</dcterms:modified>
</cp:coreProperties>
</file>