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6.wmf" ContentType="image/x-wmf"/>
  <Override PartName="/word/media/image5.wmf" ContentType="image/x-wmf"/>
  <Override PartName="/word/media/image2.wmf" ContentType="image/x-wmf"/>
  <Override PartName="/word/media/image7.png" ContentType="image/png"/>
  <Override PartName="/word/media/image1.wmf" ContentType="image/x-wmf"/>
  <Override PartName="/word/media/image8.png" ContentType="image/png"/>
  <Override PartName="/word/media/image3.wmf" ContentType="image/x-wmf"/>
  <Override PartName="/word/media/image4.wmf" ContentType="image/x-wmf"/>
  <Override PartName="/word/media/image9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>ПРОЕКТ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bCs/>
          <w:sz w:val="12"/>
          <w:szCs w:val="12"/>
          <w:lang w:eastAsia="ru-RU"/>
        </w:rPr>
      </w:pPr>
      <w:r>
        <w:rPr>
          <w:rFonts w:eastAsia="Times New Roman" w:ascii="Times New Roman" w:hAnsi="Times New Roman"/>
          <w:bCs/>
          <w:sz w:val="12"/>
          <w:szCs w:val="1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КАБИНЕТ МИНИСТРОВ 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ПОСТАНОВЛЕНИЕ</w:t>
      </w:r>
    </w:p>
    <w:p>
      <w:pPr>
        <w:pStyle w:val="Normal"/>
        <w:tabs>
          <w:tab w:val="clear" w:pos="708"/>
          <w:tab w:val="left" w:pos="9637" w:leader="none"/>
        </w:tabs>
        <w:spacing w:lineRule="auto" w:line="240" w:before="0" w:after="0"/>
        <w:ind w:right="-83" w:hanging="0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637" w:leader="none"/>
        </w:tabs>
        <w:spacing w:lineRule="auto" w:line="240" w:before="0" w:after="0"/>
        <w:ind w:right="-83" w:hanging="0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от_____________                                                                             №___________</w:t>
      </w:r>
    </w:p>
    <w:p>
      <w:pPr>
        <w:pStyle w:val="Normal"/>
        <w:spacing w:lineRule="auto" w:line="240" w:before="0" w:after="0"/>
        <w:ind w:right="567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pacing w:lineRule="auto" w:line="240" w:before="0" w:after="0"/>
        <w:ind w:left="0" w:right="4706"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внесении изменен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ий </w:t>
      </w:r>
      <w:r>
        <w:rPr>
          <w:rFonts w:eastAsia="Times New Roman" w:ascii="Times New Roman" w:hAnsi="Times New Roman"/>
          <w:bCs/>
          <w:sz w:val="28"/>
          <w:szCs w:val="28"/>
          <w:shd w:fill="auto" w:val="clear"/>
          <w:lang w:eastAsia="ru-RU"/>
        </w:rPr>
        <w:t>в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 приложение № 2 к Порядку заключения соглашений между Кабинетом Министров Республики Татарстан, Советом муниципальных образований Республики Татарстан и муниципальными районами (городскими округами) Республики Татарстан о достижении планируемых значений показателей результативности деятельности органов местного самоуправления муниципальных районов (городских округов) Республики Татарстан, утвержденному постановлением Кабинета Министров Республики Татарстан от 22.04.2015 № 275 </w:t>
      </w:r>
      <w:r>
        <w:rPr>
          <w:rFonts w:ascii="Times New Roman" w:hAnsi="Times New Roman"/>
          <w:sz w:val="28"/>
          <w:szCs w:val="28"/>
        </w:rPr>
        <w:t>«Об утверждении Порядка заключения соглашений между Кабинетом Министров Республики Татарстан, Советом муниципальных образований Республики Татарстан и муниципальными районами (городскими округами) Республики Татарстан о достижении планируемых значений показателей результативности деятельности органов местного самоуправления муниципальных районов (городских округов) Республики Татарстан»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18"/>
          <w:szCs w:val="28"/>
          <w:lang w:eastAsia="ru-RU"/>
        </w:rPr>
      </w:pPr>
      <w:r>
        <w:rPr>
          <w:rFonts w:eastAsia="Times New Roman" w:ascii="Times New Roman" w:hAnsi="Times New Roman"/>
          <w:sz w:val="1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right="225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right="225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right="225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Внести в Приложение № 2 к Порядку заключения соглашений между Кабинетом Министров Республики Татарстан, Советом муниципальных образований  Республики Татарстан и муниципальными районами (городскими округами) Республики Татарстан о достижении планируемых значений показателей результативности деятельности органов местного самоуправления муниципальных районов (городских округов) Республики Татарстан, утвержденному постановлением Кабинета Министров Республики Татарстан от 22.04.2015 № 275 «Об утверждении Порядка заключения соглашений между Кабинетом Министров Республики Татарстан, Советом муниципальных образований Республики Татарстан и муниципальными районами (городскими округами) Республики Татарстан о достижении планируемых значений показателей результативности деятельности органов местного самоуправления муниципальных районов (городских округов) Республики Татарстан» (с изменениями, внесенными постановлениями Кабинета Министров Республики Татарстан от 06.07.2015 № 494, от 05.02.2016 № 73, от 07.11.2016 № 823, от 29.12.2017 № 1093, от 22.09.2018 № 828, от 12.04.2019 № 281, от 29.07.2019 № 629, от 25.08.2020 № 737, от 19.04.2021 № 257, от 08.12.2021 № 1197, от 08.06.2022 № 540, от 16.08.2022 № 843, от 17.03.2023 № 261, от 30.08.2023 № 1040, от 13.11.2023 № 1469, от 12.12.2023 № 1603, от 27.05.2024 № 370, от 24.06.2024 № 455), следующие </w:t>
      </w:r>
      <w:r>
        <w:rPr>
          <w:rFonts w:ascii="Times New Roman" w:hAnsi="Times New Roman"/>
          <w:sz w:val="28"/>
          <w:szCs w:val="28"/>
          <w:shd w:fill="auto" w:val="clear"/>
        </w:rPr>
        <w:t>изменения: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right="225" w:firstLine="709"/>
        <w:jc w:val="both"/>
        <w:rPr>
          <w:rFonts w:ascii="Times New Roman" w:hAnsi="Times New Roman" w:eastAsia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right="225"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пункты 17, 17.1, 19 признать утратившими силу;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   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right="225"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дополнить пунктами 37 — 40 следующего содержания:</w:t>
      </w:r>
    </w:p>
    <w:tbl>
      <w:tblPr>
        <w:tblW w:w="10372" w:type="dxa"/>
        <w:jc w:val="left"/>
        <w:tblInd w:w="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00"/>
        <w:gridCol w:w="1844"/>
        <w:gridCol w:w="2093"/>
        <w:gridCol w:w="1561"/>
        <w:gridCol w:w="3974"/>
      </w:tblGrid>
      <w:tr>
        <w:trPr>
          <w:trHeight w:val="2379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spacing w:lineRule="atLeast" w:line="285" w:before="0" w:after="14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shd w:fill="auto" w:val="clear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«37.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before="0" w:after="0"/>
              <w:ind w:left="0" w:right="0" w:hanging="0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fill="auto" w:val="clear"/>
                <w:lang w:val="ru-RU" w:eastAsia="en-US" w:bidi="ar-SA"/>
                <w14:ligatures w14:val="none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val="ru-RU" w:eastAsia="en-US" w:bidi="ar-SA"/>
              </w:rPr>
              <w:t>Реальный рост дохода на одного работника субъекта малого и среднего предпринимательства (далее — МСП), процентов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fill="auto" w:val="clear"/>
                <w:lang w:val="ru-RU" w:eastAsia="en-US" w:bidi="ar-SA"/>
                <w14:ligatures w14:val="none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val="ru-RU" w:eastAsia="en-US" w:bidi="ar-SA"/>
              </w:rPr>
              <w:t>Министерство экономики Республики Татарстан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spacing w:before="0" w:after="140"/>
              <w:ind w:left="0" w:right="0" w:hanging="0"/>
              <w:jc w:val="center"/>
              <w:rPr>
                <w:rFonts w:ascii="Times New Roman" w:hAnsi="Times New Roman" w:eastAsia="Calibri" w:cs="Times New Roman"/>
                <w:color w:val="auto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val="ru-RU" w:eastAsia="en-US" w:bidi="ar-SA"/>
              </w:rPr>
              <w:t>ежегодно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2302510" cy="770890"/>
                  <wp:effectExtent l="0" t="0" r="0" b="0"/>
                  <wp:docPr id="1" name="Изображение2 Копия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 Копия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510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ConsPlusNormal"/>
              <w:widowControl w:val="false"/>
              <w:spacing w:before="0" w:after="0"/>
              <w:ind w:left="0" w:right="0" w:firstLine="283"/>
              <w:jc w:val="both"/>
              <w:rPr>
                <w:rFonts w:ascii="Times New Roman" w:hAnsi="Times New Roman" w:eastAsia="Calibri" w:cs="Times New Roman"/>
                <w:color w:val="auto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val="ru-RU" w:eastAsia="en-US" w:bidi="ar-SA"/>
              </w:rPr>
              <w:t>где:</w:t>
            </w:r>
          </w:p>
          <w:p>
            <w:pPr>
              <w:pStyle w:val="ConsPlusNormal"/>
              <w:widowControl w:val="false"/>
              <w:spacing w:before="0" w:after="0"/>
              <w:ind w:left="0" w:right="0" w:firstLine="283"/>
              <w:jc w:val="both"/>
              <w:rPr>
                <w:rFonts w:ascii="Times New Roman" w:hAnsi="Times New Roman" w:eastAsia="Calibri" w:cs="Times New Roman"/>
                <w:color w:val="auto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/>
              <w:drawing>
                <wp:inline distT="0" distB="0" distL="0" distR="0">
                  <wp:extent cx="274320" cy="269240"/>
                  <wp:effectExtent l="0" t="0" r="0" b="0"/>
                  <wp:docPr id="2" name="Изображение3 Копия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3 Копия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val="ru-RU" w:eastAsia="en-US" w:bidi="ar-SA"/>
              </w:rPr>
              <w:t>- доходы юридических лиц и индивидуальных предпринимателей за отчетный год в постоянных ценах, млрд. рублей;</w:t>
            </w:r>
          </w:p>
          <w:p>
            <w:pPr>
              <w:pStyle w:val="ConsPlusNormal"/>
              <w:widowControl w:val="false"/>
              <w:spacing w:before="0" w:after="0"/>
              <w:ind w:left="0" w:right="0" w:firstLine="283"/>
              <w:jc w:val="both"/>
              <w:rPr>
                <w:rFonts w:ascii="Times New Roman" w:hAnsi="Times New Roman" w:eastAsia="Calibri" w:cs="Times New Roman"/>
                <w:color w:val="auto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val="ru-RU" w:eastAsia="en-US" w:bidi="ar-SA"/>
              </w:rPr>
              <w:t>ЧРt,ЮЛ - число работников юридических лиц за отчетный период, человек;</w:t>
            </w:r>
          </w:p>
          <w:p>
            <w:pPr>
              <w:pStyle w:val="ConsPlusNormal"/>
              <w:widowControl w:val="false"/>
              <w:spacing w:before="0" w:after="0"/>
              <w:ind w:left="0" w:right="0" w:firstLine="283"/>
              <w:jc w:val="both"/>
              <w:rPr>
                <w:rFonts w:ascii="Times New Roman" w:hAnsi="Times New Roman" w:eastAsia="Calibri" w:cs="Times New Roman"/>
                <w:color w:val="auto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val="ru-RU" w:eastAsia="en-US" w:bidi="ar-SA"/>
              </w:rPr>
              <w:t>ЧРt,ИП - число работников индивидуальных предпринимателей за отчетный период, человек;</w:t>
            </w:r>
          </w:p>
          <w:p>
            <w:pPr>
              <w:pStyle w:val="ConsPlusNormal"/>
              <w:widowControl w:val="false"/>
              <w:spacing w:before="0" w:after="0"/>
              <w:ind w:left="0" w:right="0" w:firstLine="283"/>
              <w:jc w:val="both"/>
              <w:rPr>
                <w:rFonts w:ascii="Times New Roman" w:hAnsi="Times New Roman" w:eastAsia="Calibri" w:cs="Times New Roman"/>
                <w:color w:val="auto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/>
              <w:drawing>
                <wp:inline distT="0" distB="0" distL="0" distR="0">
                  <wp:extent cx="351790" cy="260985"/>
                  <wp:effectExtent l="0" t="0" r="0" b="0"/>
                  <wp:docPr id="3" name="Изображение4 Копия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4 Копия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val="ru-RU" w:eastAsia="en-US" w:bidi="ar-SA"/>
              </w:rPr>
              <w:t>- доходы юридических лиц и индивидуальных предпринимателей за базовый год (2023 год) в текущих ценах, млрд. рублей;</w:t>
            </w:r>
          </w:p>
          <w:p>
            <w:pPr>
              <w:pStyle w:val="ConsPlusNormal"/>
              <w:widowControl w:val="false"/>
              <w:spacing w:before="0" w:after="0"/>
              <w:ind w:left="0" w:right="0" w:firstLine="283"/>
              <w:jc w:val="both"/>
              <w:rPr>
                <w:rFonts w:ascii="Times New Roman" w:hAnsi="Times New Roman" w:eastAsia="Calibri" w:cs="Times New Roman"/>
                <w:color w:val="auto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val="ru-RU" w:eastAsia="en-US" w:bidi="ar-SA"/>
              </w:rPr>
              <w:t>ЧР2023,ЮЛ - число работников юридических лиц  за базовый период (2023 год), человек;</w:t>
            </w:r>
          </w:p>
          <w:p>
            <w:pPr>
              <w:pStyle w:val="ConsPlusNormal"/>
              <w:widowControl w:val="false"/>
              <w:spacing w:before="0" w:after="0"/>
              <w:ind w:left="0" w:right="0" w:firstLine="283"/>
              <w:jc w:val="both"/>
              <w:rPr>
                <w:rFonts w:ascii="Times New Roman" w:hAnsi="Times New Roman" w:eastAsia="Calibri" w:cs="Times New Roman"/>
                <w:color w:val="auto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val="ru-RU" w:eastAsia="en-US" w:bidi="ar-SA"/>
              </w:rPr>
              <w:t>ЧР2023,ИП - число работников индивидуальных предпринимателей за базовый период (2023 год), человек;</w:t>
            </w:r>
          </w:p>
          <w:p>
            <w:pPr>
              <w:pStyle w:val="ConsPlusNormal"/>
              <w:widowControl w:val="false"/>
              <w:spacing w:before="0" w:after="0"/>
              <w:ind w:left="0" w:right="0" w:firstLine="283"/>
              <w:jc w:val="both"/>
              <w:rPr>
                <w:rFonts w:ascii="Times New Roman" w:hAnsi="Times New Roman" w:eastAsia="Calibri" w:cs="Times New Roman"/>
                <w:color w:val="auto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val="ru-RU" w:eastAsia="en-US" w:bidi="ar-SA"/>
              </w:rPr>
              <w:t>t - отчетный год.</w:t>
            </w:r>
          </w:p>
          <w:p>
            <w:pPr>
              <w:pStyle w:val="ConsPlusNormal"/>
              <w:widowControl w:val="false"/>
              <w:spacing w:before="0" w:after="0"/>
              <w:ind w:left="0" w:right="0" w:firstLine="283"/>
              <w:jc w:val="both"/>
              <w:rPr>
                <w:rFonts w:ascii="Times New Roman" w:hAnsi="Times New Roman" w:eastAsia="Calibri" w:cs="Times New Roman"/>
                <w:color w:val="auto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val="ru-RU" w:eastAsia="en-US" w:bidi="ar-SA"/>
              </w:rPr>
              <w:t xml:space="preserve">Компонента </w:t>
            </w:r>
            <w:r>
              <w:rPr/>
              <w:drawing>
                <wp:inline distT="0" distB="0" distL="0" distR="0">
                  <wp:extent cx="274320" cy="231775"/>
                  <wp:effectExtent l="0" t="0" r="0" b="0"/>
                  <wp:docPr id="4" name="Изображение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val="ru-RU" w:eastAsia="en-US" w:bidi="ar-SA"/>
              </w:rPr>
              <w:t xml:space="preserve"> рассчитывается по формуле:</w:t>
            </w:r>
          </w:p>
          <w:p>
            <w:pPr>
              <w:pStyle w:val="ConsPlus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1383030" cy="532130"/>
                  <wp:effectExtent l="0" t="0" r="0" b="0"/>
                  <wp:docPr id="5" name="Изображение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ConsPlusNormal"/>
              <w:widowControl w:val="false"/>
              <w:spacing w:before="0" w:after="0"/>
              <w:ind w:left="0" w:right="0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где:</w:t>
            </w:r>
          </w:p>
          <w:p>
            <w:pPr>
              <w:pStyle w:val="ConsPlusNormal"/>
              <w:widowControl w:val="false"/>
              <w:spacing w:before="0" w:after="0"/>
              <w:ind w:left="0" w:right="0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259080" cy="259715"/>
                  <wp:effectExtent l="0" t="0" r="0" b="0"/>
                  <wp:docPr id="6" name="Изображение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- доходы юридических лиц и индивидуальных предпринимателей за отчетный год в текущих ценах, млрд. рублей;</w:t>
            </w:r>
          </w:p>
          <w:p>
            <w:pPr>
              <w:pStyle w:val="ConsPlusNormal"/>
              <w:widowControl w:val="false"/>
              <w:spacing w:before="0" w:after="0"/>
              <w:ind w:left="0" w:right="0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ИПЦ - индекс потребительских цен на товары и услуги за период с начала года к соответствующему периоду предыдущего года, процентов.</w:t>
            </w:r>
          </w:p>
          <w:p>
            <w:pPr>
              <w:pStyle w:val="ConsPlusNormal"/>
              <w:widowControl w:val="false"/>
              <w:spacing w:before="0" w:after="0"/>
              <w:ind w:left="0" w:right="0" w:firstLine="283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При расчете ЧР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8"/>
                <w:szCs w:val="28"/>
                <w:vertAlign w:val="subscript"/>
              </w:rPr>
              <w:t>t,ЮЛ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 xml:space="preserve"> физическое лицо, с выплат и иных вознаграждений которому исчислены страховые взносы в соответствии с применяемым тарифом страховых взносов по месту нахождения обособленного подразделения юридического лица - субъекта МСП, наделенного полномочиями по начислению выплат и иных вознаграждений в пользу физических лиц, учитывается по месту нахождения такого обособленного подразделения.</w:t>
            </w:r>
          </w:p>
          <w:p>
            <w:pPr>
              <w:pStyle w:val="ConsPlusNormal"/>
              <w:widowControl w:val="false"/>
              <w:spacing w:before="0" w:after="0"/>
              <w:ind w:left="0" w:right="0" w:firstLine="283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При расчете ЧР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8"/>
                <w:szCs w:val="28"/>
                <w:vertAlign w:val="subscript"/>
              </w:rPr>
              <w:t>t,ЮЛ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 xml:space="preserve"> и ЧР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8"/>
                <w:szCs w:val="28"/>
                <w:vertAlign w:val="subscript"/>
              </w:rPr>
              <w:t>t,ИП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 xml:space="preserve"> физическое лицо, с выплат и иных вознаграждений которому исчислены страховые взносы в соответствии с применяемым тарифом страховых взносов разными работодателями - субъектами МСП, учитывается один раз. Физическое лицо, с выплат и иных вознаграждений которому исчислены страховые взносы в соответствии с применяемым тарифом страховых взносов разными работодателями - субъектами МСП, считается работником того работодателя - субъекта МСП, которым работнику начислена наибольшая сумма выплат и иных вознаграждений.</w:t>
            </w:r>
          </w:p>
          <w:p>
            <w:pPr>
              <w:pStyle w:val="ConsPlusNormal"/>
              <w:widowControl w:val="false"/>
              <w:spacing w:before="0" w:after="0"/>
              <w:ind w:left="0" w:right="0" w:firstLine="283"/>
              <w:jc w:val="both"/>
              <w:rPr>
                <w:rFonts w:ascii="Times New Roman" w:hAnsi="Times New Roman" w:cs="Times New Roman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 w:val="false"/>
                <w:color w:val="000000"/>
                <w:sz w:val="28"/>
                <w:szCs w:val="28"/>
              </w:rPr>
              <w:t>Значение показателя за месяц принимается равным значению показателя за отчетный год.</w:t>
            </w:r>
          </w:p>
        </w:tc>
      </w:tr>
      <w:tr>
        <w:trPr>
          <w:trHeight w:val="992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spacing w:lineRule="atLeast" w:line="285" w:before="0" w:after="140"/>
              <w:ind w:left="0" w:right="0" w:hanging="0"/>
              <w:jc w:val="center"/>
              <w:rPr>
                <w:rFonts w:ascii="Times New Roman" w:hAnsi="Times New Roman" w:eastAsia="Calibri" w:cs="Times New Roman"/>
                <w:color w:val="auto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val="ru-RU" w:eastAsia="en-US" w:bidi="ar-SA"/>
              </w:rPr>
              <w:t>38.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9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en-US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 w:eastAsia="en-US" w:bidi="ar-SA"/>
              </w:rPr>
              <w:t>Доля субъектов МСП, превысивших предельные значения для определения категорий субъектов МСП (микро-, малые, средние), процентов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9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en-US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 w:eastAsia="en-US" w:bidi="ar-SA"/>
              </w:rPr>
              <w:t>Министерство экономики Республики Татарстан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spacing w:before="0" w:after="140"/>
              <w:ind w:left="0" w:right="0" w:hanging="0"/>
              <w:jc w:val="center"/>
              <w:rPr>
                <w:rFonts w:ascii="Times New Roman" w:hAnsi="Times New Roman" w:eastAsia="Calibri" w:cs="Times New Roman"/>
                <w:color w:val="auto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val="ru-RU" w:eastAsia="en-US" w:bidi="ar-SA"/>
              </w:rPr>
              <w:t>ежегодно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/>
            </w:pPr>
            <w:r>
              <w:rPr/>
              <w:drawing>
                <wp:inline distT="0" distB="0" distL="0" distR="0">
                  <wp:extent cx="2203450" cy="734060"/>
                  <wp:effectExtent l="0" t="0" r="0" b="0"/>
                  <wp:docPr id="7" name="Изображение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13" w:firstLine="17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</w:rPr>
              <w:t>где: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2" w:leader="none"/>
              </w:tabs>
              <w:spacing w:lineRule="auto" w:line="240" w:before="0" w:after="0"/>
              <w:ind w:left="0" w:right="-69" w:firstLine="283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</w:rPr>
              <w:t>K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vertAlign w:val="subscript"/>
              </w:rPr>
              <w:t xml:space="preserve">мик,t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</w:rPr>
              <w:t>- количество субъектов МСП — микропредприятий, превысивших предельные значения для определения категории «микропредприятие», за отчетный год, единиц;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-69" w:firstLine="283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</w:rPr>
              <w:t>K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vertAlign w:val="subscript"/>
              </w:rPr>
              <w:t xml:space="preserve">мал,t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</w:rPr>
              <w:t>- количество субъектов МСП - малых пред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2"/>
                <w:lang w:val="ru-RU" w:eastAsia="en-US" w:bidi="ar-SA"/>
              </w:rPr>
              <w:t xml:space="preserve">приятий, превысивших предельные значения для определения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</w:rPr>
              <w:t>категории «малое предпринимательство», за отчетный год, единиц;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-69" w:firstLine="283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</w:rPr>
              <w:t>K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vertAlign w:val="subscript"/>
              </w:rPr>
              <w:t xml:space="preserve">ср,t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</w:rPr>
              <w:t>- количество субъектов МСП - средних предприятий, превысивших предельные значения для определения категории «среднее предпринимательство», за отчетный год, единиц;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-69" w:firstLine="283"/>
              <w:jc w:val="both"/>
              <w:rPr/>
            </w:pPr>
            <w:r>
              <w:rPr/>
              <w:drawing>
                <wp:inline distT="0" distB="0" distL="0" distR="0">
                  <wp:extent cx="485775" cy="247650"/>
                  <wp:effectExtent l="0" t="0" r="0" b="0"/>
                  <wp:docPr id="8" name="Изображение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</w:rPr>
              <w:t>- количество субъектов МСП на 10 января (t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vertAlign w:val="subscript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</w:rPr>
              <w:t>) отчетного года, единиц;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-69" w:firstLine="283"/>
              <w:jc w:val="both"/>
              <w:rPr/>
            </w:pPr>
            <w:r>
              <w:rPr/>
              <w:drawing>
                <wp:inline distT="0" distB="0" distL="0" distR="0">
                  <wp:extent cx="485775" cy="257175"/>
                  <wp:effectExtent l="0" t="0" r="0" b="0"/>
                  <wp:docPr id="9" name="Изображение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</w:rPr>
              <w:t>- количество субъектов МСП на 10 января (t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vertAlign w:val="subscript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</w:rPr>
              <w:t>) года, следующего за отчетным годом, единиц;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</w:rPr>
              <w:t>t - отчетный год;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</w:rPr>
              <w:t>t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vertAlign w:val="subscript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</w:rPr>
              <w:t>- начало отчетного года;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</w:rPr>
              <w:t>t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vertAlign w:val="subscript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</w:rPr>
              <w:t>- конец отчетного года.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283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</w:rPr>
              <w:t>Значение показателя за месяц принимается равным значению показателя за отчетный год.</w:t>
            </w:r>
          </w:p>
        </w:tc>
      </w:tr>
      <w:tr>
        <w:trPr>
          <w:trHeight w:val="228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spacing w:lineRule="atLeast" w:line="285" w:before="0" w:after="14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shd w:fill="auto" w:val="clear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39.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val="ru-RU" w:eastAsia="en-US" w:bidi="ar-SA"/>
              </w:rPr>
              <w:t>Совокупный коэффициент рождаемости суб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 w:eastAsia="en-US" w:bidi="ar-SA"/>
              </w:rPr>
              <w:t>ъектов МСП, процентов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spacing w:lineRule="atLeast" w:line="285" w:before="0" w:after="14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Министерство экономики Республики Татарстан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spacing w:before="0" w:after="140"/>
              <w:ind w:left="0" w:right="0" w:hanging="0"/>
              <w:jc w:val="center"/>
              <w:rPr>
                <w:rFonts w:ascii="Times New Roman" w:hAnsi="Times New Roman" w:eastAsia="Calibri" w:cs="Times New Roman"/>
                <w:color w:val="auto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auto" w:val="clear"/>
                <w:lang w:val="ru-RU" w:eastAsia="en-US" w:bidi="ar-SA"/>
              </w:rPr>
              <w:t>ежегодно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704"/>
              <w:tblW w:w="322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323"/>
              <w:gridCol w:w="232"/>
              <w:gridCol w:w="794"/>
              <w:gridCol w:w="286"/>
              <w:gridCol w:w="1590"/>
            </w:tblGrid>
            <w:tr>
              <w:trPr>
                <w:trHeight w:val="270" w:hRule="atLeast"/>
              </w:trPr>
              <w:tc>
                <w:tcPr>
                  <w:tcW w:w="32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kern w:val="0"/>
                      <w:sz w:val="12"/>
                      <w:szCs w:val="12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kern w:val="0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8"/>
                    </w:rPr>
                    <w:t>К</w:t>
                  </w:r>
                </w:p>
              </w:tc>
              <w:tc>
                <w:tcPr>
                  <w:tcW w:w="23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kern w:val="0"/>
                      <w:sz w:val="14"/>
                      <w:szCs w:val="14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ind w:left="57" w:right="0" w:hanging="0"/>
                    <w:jc w:val="left"/>
                    <w:rPr>
                      <w:kern w:val="0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8"/>
                    </w:rPr>
                    <w:t>=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0" w:right="0" w:hanging="0"/>
                    <w:jc w:val="center"/>
                    <w:rPr>
                      <w:u w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8"/>
                      <w:szCs w:val="28"/>
                      <w:u w:val="none"/>
                    </w:rPr>
                    <w:t>Квс</w:t>
                  </w:r>
                </w:p>
              </w:tc>
              <w:tc>
                <w:tcPr>
                  <w:tcW w:w="2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ind w:left="-170" w:right="0" w:hanging="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16"/>
                      <w:szCs w:val="16"/>
                    </w:rPr>
                    <w:t xml:space="preserve"> ⨉</w:t>
                  </w:r>
                </w:p>
              </w:tc>
              <w:tc>
                <w:tcPr>
                  <w:tcW w:w="159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kern w:val="0"/>
                      <w:sz w:val="14"/>
                      <w:szCs w:val="14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ind w:left="-57" w:right="227" w:hanging="0"/>
                    <w:jc w:val="both"/>
                    <w:rPr>
                      <w:kern w:val="0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</w:rPr>
                    <w:t>100%,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323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tLeast" w:line="280" w:before="0" w:after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highlight w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8"/>
                    </w:rPr>
                  </w:r>
                </w:p>
              </w:tc>
              <w:tc>
                <w:tcPr>
                  <w:tcW w:w="232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tLeast" w:line="280" w:before="0" w:after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highlight w:val="none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8"/>
                    </w:rPr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tLeast" w:line="280" w:before="0" w:after="0"/>
                    <w:jc w:val="center"/>
                    <w:rPr>
                      <w:kern w:val="0"/>
                    </w:rPr>
                  </w:pPr>
                  <w:r>
                    <mc:AlternateContent>
                      <mc:Choice Requires="wps">
                        <w:drawing>
                          <wp:anchor behindDoc="0" distT="635" distB="635" distL="635" distR="635" simplePos="0" locked="0" layoutInCell="1" allowOverlap="1" relativeHeight="11">
                            <wp:simplePos x="0" y="0"/>
                            <wp:positionH relativeFrom="column">
                              <wp:posOffset>32385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381000" cy="635"/>
                            <wp:effectExtent l="635" t="635" r="635" b="635"/>
                            <wp:wrapNone/>
                            <wp:docPr id="10" name="Горизонтальная линия 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0880" cy="720"/>
                                    </a:xfrm>
                                    <a:prstGeom prst="line">
                                      <a:avLst/>
                                    </a:prstGeom>
                                    <a:ln w="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hape_0" from="2.55pt,0.35pt" to="32.5pt,0.35pt" ID="Горизонтальная линия 1" stroked="t" o:allowincell="f" style="position:absolute">
                            <v:stroke color="black" joinstyle="round" endcap="flat"/>
                            <v:fill o:detectmouseclick="t" on="false"/>
                            <w10:wrap type="none"/>
                          </v:line>
                        </w:pict>
                      </mc:Fallback>
                    </mc:AlternateContent>
                  </w: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</w:rPr>
                    <w:t>Кд</w:t>
                  </w:r>
                </w:p>
              </w:tc>
              <w:tc>
                <w:tcPr>
                  <w:tcW w:w="286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tLeast" w:line="280" w:before="0" w:after="0"/>
                    <w:jc w:val="center"/>
                    <w:rPr>
                      <w:kern w:val="0"/>
                    </w:rPr>
                  </w:pPr>
                  <w:r>
                    <w:rPr>
                      <w:kern w:val="0"/>
                    </w:rPr>
                  </w:r>
                </w:p>
              </w:tc>
              <w:tc>
                <w:tcPr>
                  <w:tcW w:w="1590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tLeast" w:line="280" w:before="0" w:after="0"/>
                    <w:jc w:val="both"/>
                    <w:rPr>
                      <w:kern w:val="0"/>
                    </w:rPr>
                  </w:pPr>
                  <w:r>
                    <w:rPr>
                      <w:kern w:val="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tLeast" w:line="280" w:before="0" w:after="0"/>
              <w:ind w:left="0" w:right="0" w:firstLine="283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</w:rPr>
              <w:t>где: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 - коэффициент рождаемости субъектов МСП, процентов;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Квс - количество вновь созданных субъектов МСП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 w:eastAsia="en-US" w:bidi="ar-SA"/>
              </w:rPr>
              <w:t xml:space="preserve"> за отчетный период, человек;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Кд - среднегодовая численность всех субъектов МСП (среднеарифметическое значение числа субъектов МСП на начало года и на конец), единиц</w:t>
            </w:r>
          </w:p>
        </w:tc>
      </w:tr>
      <w:tr>
        <w:trPr>
          <w:trHeight w:val="1275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spacing w:lineRule="atLeast" w:line="285" w:before="0" w:after="140"/>
              <w:ind w:left="0" w:right="0" w:hanging="0"/>
              <w:jc w:val="center"/>
              <w:rPr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40.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spacing w:lineRule="atLeast" w:line="285" w:before="0" w:after="140"/>
              <w:ind w:left="0" w:right="0" w:hanging="0"/>
              <w:jc w:val="left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highlight w:val="white"/>
                <w:shd w:fill="auto" w:val="clear"/>
              </w:rPr>
              <w:t>У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highlight w:val="white"/>
                <w:shd w:fill="auto" w:val="clear"/>
                <w:lang w:val="ru-RU" w:eastAsia="en-US" w:bidi="ar-SA"/>
              </w:rPr>
              <w:t>ровень удовлетворенности потенциальных и действу</w:t>
            </w:r>
            <w:r>
              <w:rPr>
                <w:rFonts w:eastAsia="Calibri" w:cs="Times New Roman" w:ascii="Times New Roman" w:hAnsi="Times New Roman"/>
                <w:b w:val="false"/>
                <w:color w:val="000000"/>
                <w:sz w:val="28"/>
                <w:szCs w:val="28"/>
                <w:highlight w:val="white"/>
                <w:shd w:fill="auto" w:val="clear"/>
                <w:lang w:val="ru-RU" w:eastAsia="en-US" w:bidi="ar-SA"/>
              </w:rPr>
              <w:t>ющих субъектов МСП, осуществляющих деятельность в промышленных (индустриальных) парках, технопарках, бизнес-парках, а также получивших услуги иных организаций инфраструктуры поддержки субъектов МСП, процентов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b w:val="false"/>
                <w:color w:val="000000"/>
                <w:sz w:val="28"/>
                <w:szCs w:val="28"/>
                <w:highlight w:val="white"/>
                <w:shd w:fill="auto" w:val="clear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инистерство экономики Республики Татарстан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spacing w:before="0" w:after="140"/>
              <w:ind w:left="0" w:right="0" w:hanging="0"/>
              <w:jc w:val="center"/>
              <w:rPr>
                <w:rFonts w:ascii="Times New Roman" w:hAnsi="Times New Roman" w:eastAsia="Calibri" w:cs="Times New Roman"/>
                <w:color w:val="auto"/>
                <w:sz w:val="28"/>
                <w:szCs w:val="28"/>
                <w:highlight w:val="whit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highlight w:val="white"/>
                <w:shd w:fill="auto" w:val="clear"/>
                <w:lang w:val="ru-RU" w:eastAsia="en-US" w:bidi="ar-SA"/>
              </w:rPr>
              <w:t>ежеквартально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Определяется по результатам опроса среди получателей мер государственной поддержки МСП».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right="0" w:firstLine="737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2.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>Установить, что настоящее постановление вступает в силу с 1 января 2025 года.</w:t>
      </w:r>
    </w:p>
    <w:p>
      <w:pPr>
        <w:pStyle w:val="ListParagraph"/>
        <w:widowControl/>
        <w:spacing w:lineRule="auto" w:line="240" w:before="0" w:after="0"/>
        <w:ind w:left="0" w:right="0" w:firstLine="737"/>
        <w:contextualSpacing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Премьер-министр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12">
                <wp:simplePos x="0" y="0"/>
                <wp:positionH relativeFrom="column">
                  <wp:posOffset>2656840</wp:posOffset>
                </wp:positionH>
                <wp:positionV relativeFrom="paragraph">
                  <wp:posOffset>1823085</wp:posOffset>
                </wp:positionV>
                <wp:extent cx="38100" cy="19050"/>
                <wp:effectExtent l="635" t="635" r="635" b="635"/>
                <wp:wrapNone/>
                <wp:docPr id="11" name="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160" cy="190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9.2pt,143.55pt" to="212.15pt,145pt" ID="Линия 1" stroked="t" o:allowincell="f" style="position:absolute;flip:y">
                <v:stroke color="#3465a4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3">
                <wp:simplePos x="0" y="0"/>
                <wp:positionH relativeFrom="column">
                  <wp:posOffset>2653665</wp:posOffset>
                </wp:positionH>
                <wp:positionV relativeFrom="paragraph">
                  <wp:posOffset>2508250</wp:posOffset>
                </wp:positionV>
                <wp:extent cx="634365" cy="0"/>
                <wp:effectExtent l="635" t="635" r="635" b="635"/>
                <wp:wrapNone/>
                <wp:docPr id="12" name="Горизонта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2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8.95pt,197.5pt" to="258.85pt,197.5pt" ID="Горизонтальная линия 3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ascii="Times New Roman" w:hAnsi="Times New Roman"/>
          <w:sz w:val="28"/>
          <w:szCs w:val="28"/>
          <w:lang w:eastAsia="ru-RU"/>
        </w:rPr>
        <w:t>Республики Татарстан                                                                                   А.В. Песошин</w:t>
      </w:r>
    </w:p>
    <w:sectPr>
      <w:headerReference w:type="default" r:id="rId11"/>
      <w:type w:val="nextPage"/>
      <w:pgSz w:w="11906" w:h="16838"/>
      <w:pgMar w:left="1134" w:right="567" w:gutter="0" w:header="709" w:top="1134" w:footer="0" w:bottom="82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 xml:space="preserve"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6</w:t>
    </w:r>
    <w:r>
      <w:rPr>
        <w:sz w:val="24"/>
        <w:szCs w:val="24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Верхний колонтитул Знак"/>
    <w:basedOn w:val="DefaultParagraphFont"/>
    <w:uiPriority w:val="99"/>
    <w:qFormat/>
    <w:rPr/>
  </w:style>
  <w:style w:type="character" w:styleId="-">
    <w:name w:val="Hyperlink"/>
    <w:uiPriority w:val="99"/>
    <w:unhideWhenUsed/>
    <w:rPr>
      <w:color w:val="0563C1"/>
      <w:u w:val="single"/>
    </w:rPr>
  </w:style>
  <w:style w:type="character" w:styleId="Style10" w:customStyle="1">
    <w:name w:val="Текст выноски Знак"/>
    <w:uiPriority w:val="99"/>
    <w:semiHidden/>
    <w:qFormat/>
    <w:rPr>
      <w:rFonts w:ascii="Segoe UI" w:hAnsi="Segoe UI" w:cs="Segoe UI"/>
      <w:sz w:val="18"/>
      <w:szCs w:val="18"/>
    </w:rPr>
  </w:style>
  <w:style w:type="character" w:styleId="Style11" w:customStyle="1">
    <w:name w:val="Нижний колонтитул Знак"/>
    <w:basedOn w:val="DefaultParagraphFont"/>
    <w:uiPriority w:val="99"/>
    <w:qFormat/>
    <w:rPr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Style12">
    <w:name w:val="Emphasis"/>
    <w:basedOn w:val="DefaultParagraphFont"/>
    <w:uiPriority w:val="20"/>
    <w:qFormat/>
    <w:rPr>
      <w:i/>
      <w:i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3"/>
    <w:pPr/>
    <w:rPr/>
  </w:style>
  <w:style w:type="paragraph" w:styleId="Style23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Style26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" w:customStyle="1">
    <w:name w:val="Default"/>
    <w:qFormat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styleId="704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07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317BBA" w:themeColor="accent1" w:themeTint="80" w:themeShade="95"/>
        <w:sz w:val="22"/>
      </w:rPr>
      <w:tblPr/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606060" w:themeColor="accent3" w:themeTint="fe" w:themeShade="95"/>
        <w:sz w:val="22"/>
      </w:rPr>
      <w:tblPr/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254374" w:themeColor="accent5" w:themeShade="95"/>
        <w:sz w:val="22"/>
      </w:rPr>
      <w:tblPr/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254374" w:themeColor="accent5" w:themeShade="95"/>
        <w:sz w:val="22"/>
      </w:rPr>
      <w:tblPr/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809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30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image" Target="media/image6.wmf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D0D68-CC15-49D7-B5D7-842E28CB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6</Pages>
  <Words>807</Words>
  <Characters>5706</Characters>
  <CharactersWithSpaces>6622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2023-11-30T13:21:00Z</dcterms:created>
  <dc:creator>Зиганшина Ландыш Азатовна</dc:creator>
  <dc:description/>
  <dc:language>ru-RU</dc:language>
  <cp:lastModifiedBy/>
  <dcterms:modified xsi:type="dcterms:W3CDTF">2024-12-09T10:00:36Z</dcterms:modified>
  <cp:revision>66</cp:revision>
  <dc:subject/>
  <dc:title/>
</cp:coreProperties>
</file>