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right="426" w:firstLine="0"/>
        <w:jc w:val="right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ind w:right="5096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right="5096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right="5096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right="5096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right="5096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left="0" w:right="5244" w:firstLine="0"/>
        <w:jc w:val="both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внесении изменений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постановление Кабинета Министров Республики Татарстан от 09.08.2021 № 689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«Об утверждении Порядка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предоставления субсидий из бюджета Республики Татарстан юридическим лицам на финансовое обеспечение (возмещение) затрат, связанных с органи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709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Кабинет Министров Республики Татарстан ПОСТАНОВЛЯЕТ: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906"/>
        <w:ind w:left="0" w:firstLine="850"/>
        <w:jc w:val="both"/>
        <w:spacing w:line="57" w:lineRule="atLeast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Внести в постановление Кабинета Министров Республики Татарстан от 09.08.2021 № 689 «Об утверждении Порядка предоставления субсидий из бюджета Республики Татарстан юридическим лицам на финансовое обеспечение (возмещение) затрат, связанных с организ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ацией и проведением мероприятий (конференций, совещаний, 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других конкурсах в сфере образования и науки, в Международном строительном чемпионате» (с изменениями, внесенными постановлениями Кабинета Министров Республики Татарстан от 23.08.2022 № 892, от 29.12.2022 № 1438, от 24.04.2023 № 520, от 08.12.2023 № 1589)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изменение, изложив его в новой редакции (прилагается).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49"/>
        <w:jc w:val="both"/>
        <w:spacing w:line="57" w:lineRule="atLeast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2. Установить, что настоящее постановление вступает в силу с 1 января 2025 года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Премьер-министр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ind w:firstLine="0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Республики Татарстан                                                                                   А.В.Песошин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849"/>
        <w:ind w:firstLine="0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ffffff"/>
        </w:rPr>
      </w:r>
    </w:p>
    <w:p>
      <w:pPr>
        <w:pStyle w:val="849"/>
        <w:ind w:left="6946" w:firstLine="0"/>
        <w:spacing w:before="0" w:after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</w:t>
        <w:br/>
        <w:t xml:space="preserve">постановлением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left="6946" w:firstLine="0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Кабинета Министров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left="6946" w:firstLine="0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Татарстан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left="6946" w:firstLine="0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09.08.2021 № 689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(в редакции постановления Кабинета Министров Республики Татарстан</w:t>
        <w:br/>
        <w:t xml:space="preserve">от ____ № ____)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jc w:val="center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jc w:val="center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jc w:val="center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предоставления субсидий из бюджета Республики Татарстан юридическим лицам на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финансовое обеспечение (возмещение) затрат, связанных с организацией и проведением мероприятий (конференций, совещаний, 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олимпиад, симпозиумов, съездов, образовательных смен, выставок, конкурсов, чемпионатов профессионального мастерства, а также иных мероприятий) в сфере образования и науки, форума «Молодой специалист</w:t>
      </w:r>
      <w:r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</w:rPr>
        <w:t xml:space="preserve"> – строитель будущего», с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I. Общие положения и условия предоставления субсидии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Настоящий Порядок разработан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условия и порядок предоставления из бюджета Республики Татарстан субсидий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юридическим лицам, не являющимся государственными (муниципальными) учреждениями (далее – юридические лица)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финансовое обеспечение (возмещение) затрат, связанных с организацией, проведением и участием в мероприятиях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сфере образования и науки, с подготовкой и участием сбо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 форума «Молодой специалист – строитель будущего», в Международном строительном чемпионате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соответственно – субсидия, участники отбора, мероприятия).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целях настоящего Порядка под мероприятиями понимаются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конференции, совещания, олимпиады, симпозиумы, съезды, образовательные смены, выставки, конкурсы, чемпионаты профессионального мастерства, а также иные мероприятий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Министерство образования и науки Республики Татарстан (далее - Министерство).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субсидии размещаетс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 едином портале бюджетной системы 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Способом проведения отбора получателей субсидии (далее – 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Получатель субсидии должен соответствовать следующим критериям отбора: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ведение деятельности на территории Республики Татарстан и уплата налогов в бюджет Республики Татарстан;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наличие опыта проведения мероприятий, подготовк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участие сборной команды (представит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 не менее трех лет подряд на дату размещения объявления о проведении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Отбор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Взаимодействие Министерства и комиссии по рассмотрению заявок (далее – комиссия) с участниками отбора осуществляется с использованием документов в электронной форме в системе «Электронный бюджет».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Доступ участников отбора к системе «Электронный бюджет» осуществляется с использованием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Способом предоставления субсидии является финансовое обеспечение (возмещение) затрат.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направлениям расходов (затрат), источником финансового обеспечения (возмещения) которых является субсидия, относятся: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труда персонала, связанного с организацией и проведением мероприятия, подготовкой и участием сбо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и начислений на выплаты по оплате труда персонала;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командировочные расходы, понесенные в связи с организацией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по договорам поставки, выполнения работ, оказания услуг, в том чис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услуг связи, транспортных услуг, коммунальных услуг, услуг по содержанию имущества, и иным договорам, заключенным в связи с организацией и проведением мероприятия и в других конкурсах в сфере образования и науки, в Международном строительном чемпионате;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налогов, сборов, страховых взносов и иных обязательных платежей в соответствии с законодательством Российской Федерации о налогах и сборах, начисленных в связи с организацией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оплата организационного взноса за участие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по напра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влению, указанному в абзаце втором настоящего пункта определяются в соответствии с утвержденным локальным нормативным документом об оплате труда, коллективным договором юридического лица, трудовым договором, начислений на выплаты по оплате труда персонала.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по направлению, указанному в абзаце третьем настоящего пункта определяю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Министерством в соответствии с постановлением Правительства Российской Федерации от 13 октября 2008 г. № 749 «Об особенностях направления работников в служебные командировки» (но не более фактически произведенных и документально подтвержденных затрат).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по направлению, указанному в абзаце четвертом настоящего пункта опре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 (но не более фактически произведенных и документально подтвержденных затрат).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по направлению, указанному в абзаце пятом настоящего пункта определяются в соответствии с законодательством Российской Федерации о налогах и сборах.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Расходы по направлению, указанному в абзаце шестом настоящего пункта определяются Министерством исходя из нормативного акта организатора мероприятия, устанавливающего размер организационного взноса, рублей.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Размер субсидии (С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возмещение затрат, связанных с организацией и проведением мероприятия, подготовко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определяется по следующей формуле: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49"/>
        <w:jc w:val="center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 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</w:t>
      </w:r>
      <w:r>
        <w:rPr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jc w:val="center"/>
        <w:spacing w:line="240" w:lineRule="auto"/>
        <w:widowControl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49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произведенные затраты на оплату тру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 персонала, связанного с организацией и проведением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Международном строительном чемпионате, рассчитываемые в соответствии с утвержденным локальным нормативным документом об оплате труда, коллективным договором юридического лица, трудовым договором, начислений на выплаты по оплате труда персонала,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произведенные затраты по направлению, указанному в абзаце четвертом пункта 8 настоящего Порядка, которые определяются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 (но не более фактически произведенных и документально подтвержденных затрат),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произведенные затраты на командировочные расходы, понесенные в связи с организацией и проведением мероприятия,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которые определяются Минис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терством  в соответствии с постановлением Правительства Российской Федерации от 13 октября 2008 г. № 749 «Об особенностях направления работников в служебные командировки» (но не более фактически произведенных и документально подтвержденных затрат),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произведенные затраты на уплату налогов, в соответствии с законодательством Российской Федерации о налогах и сборах, начисленные в связи с организацией и проведен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 фактически произведенные затраты на оплату организационного взноса за участие в чемпионатах по профессиональному мастерству различного уровня, и в других конкурсах в сфере образования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и науки, в Международном строительном чемпионате, которые определяются Министерством исходя из нормативного акта организатора мероприятия, устанавливающего размер организационного взноса, рублей.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rFonts w:asciiTheme="minorHAnsi" w:hAnsiTheme="minorHAnsi" w:eastAsiaTheme="minorEastAsia" w:cstheme="minorBidi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ab/>
        <w:t xml:space="preserve">Размер субсидии (С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) на финансовое обеспечение расходов, связанных с организацией и проведением мероприятия, подготовко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определяется по следующей формуле:</w:t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</w:p>
    <w:p>
      <w:pPr>
        <w:pStyle w:val="849"/>
        <w:spacing w:line="240" w:lineRule="auto"/>
        <w:widowControl/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r>
    </w:p>
    <w:p>
      <w:pPr>
        <w:pStyle w:val="849"/>
        <w:jc w:val="center"/>
        <w:spacing w:line="240" w:lineRule="auto"/>
        <w:widowControl/>
        <w:rPr>
          <w:rFonts w:asciiTheme="minorHAnsi" w:hAnsiTheme="minorHAnsi" w:eastAsiaTheme="minorEastAsia" w:cstheme="minorBidi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С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р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= 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1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+ 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2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+ 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3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+ 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 4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+ 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5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,</w:t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</w:p>
    <w:p>
      <w:pPr>
        <w:pStyle w:val="849"/>
        <w:spacing w:line="240" w:lineRule="auto"/>
        <w:widowControl/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shd w:val="clear" w:color="auto" w:fill="ffffff"/>
        </w:rPr>
      </w:r>
    </w:p>
    <w:p>
      <w:pPr>
        <w:pStyle w:val="849"/>
        <w:spacing w:line="240" w:lineRule="auto"/>
        <w:widowControl/>
        <w:rPr>
          <w:rFonts w:asciiTheme="minorHAnsi" w:hAnsiTheme="minorHAnsi" w:eastAsiaTheme="minorEastAsia" w:cstheme="minorBidi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где:</w:t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rFonts w:asciiTheme="minorHAnsi" w:hAnsiTheme="minorHAnsi" w:eastAsiaTheme="minorEastAsia" w:cstheme="minorBidi"/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ab/>
        <w:t xml:space="preserve">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1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 – сметные расходы на оплату труда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 персонала, связанного с организацией и проведением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в Международном строительном чемпионате, рассчитываемые в соответствии с утвержденным локальным нормативным документом об оплате труда, коллективным договором юридического лица, трудовым договором, и начислений на выплаты по оплате труда персонала, рублей;</w:t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  <w:r>
        <w:rPr>
          <w:rFonts w:asciiTheme="minorHAnsi" w:hAnsiTheme="minorHAnsi" w:eastAsiaTheme="minorEastAsia" w:cstheme="minorBidi"/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ab/>
        <w:t xml:space="preserve">Р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  <w:vertAlign w:val="subscript"/>
        </w:rPr>
        <w:t xml:space="preserve">2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 – сметные расходы</w:t>
      </w:r>
      <w:r>
        <w:rPr>
          <w:rFonts w:ascii="Times New Roman" w:hAnsi="Times New Roman" w:cs="Times New Roman" w:eastAsiaTheme="minorEastAsia"/>
          <w:sz w:val="28"/>
          <w:szCs w:val="28"/>
          <w:shd w:val="clear" w:color="auto" w:fill="ffffff"/>
        </w:rPr>
        <w:t xml:space="preserve">, исчисляемые в рублях, по направлению, указанному в абзаце четвертом пункта 8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ных) товаров, работ, услуг, в том числе 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сметные командировочные расход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согласно смете расходов в связи с организацией и проведением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 науки, в Международном строительном чемпионате, которые определяются Министерством в соответствии с постановлением Правительства Российской Федерации от 13 октября 2008 г. № 749 «Об особенностях направления работников в служебные командировки»,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сметные расходы на оплату налогов, сборов, страховых взносов и иных обязательных платежей в соответствии с законодательством Российской Федерации о налогах и сборах, начисленных в связи с организацией и проведен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мероприятия, подготовкой 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сметные расходы на оплату организационного взноса за участие в чемпионатах по профессиональному мастерству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различного уровня, и в других конкурсах в сфере образования и науки, в Международном строительном чемпионате, которые определяются Министерством исходя из нормативного акта организатора мероприятия, устанавливающего размер организационного взноса, рублей.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Результатами предоставления субсидии являются: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организации и проведении мероприятий – проведение не менее одного мероприятия республиканского, всероссийского и (или) международного уровня с количеством участников не менее 30 человек;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подготовке и участии сборной команды (представителей) Республики Татарстан в чемпионатах по профессиональному мастерству различного уровня и в других конкурсах в сф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 образования и науки – подготовка и участие в чемпионатах по профессиональному мастерству различного уровня и в других конкурсах в сфере образования и науки с количеством человек сборной команды (представителей) Республики Татарстан не менее 10 человек;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при подготовке и участии сборной команды (представителей) Республики Татарстан в Международном строительном чемпионате – подготовка и участие сборной команды (представителей) Республики Татарстан в составе не менее 12 человек.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line="240" w:lineRule="auto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Результаты предоставления субсидии должны быть достигнуты до 31 декабря года, в котором предоставлена субсидия.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II. Требования к участникам отбора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 отбора по состоянию на даты рассмотрения заявки и заключения соглашения о предоставлении субсидии (далее – соглашение) должен соответствовать следующим требованиям: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является иностранным юридическим лицом, в том числе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участни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участника отбора отсутствует просроченная задолженность по возврату в бюдже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 отбора не находится в процессе реорганизации (за исключением рео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рганизации в форме присоединения к участнику отбора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Проверка участника отбора на соответствие требованиям, определенным пунктом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осуществляется автоматически в сист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еме «Электронный бюджет»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не вправе требовать представление документов, подтверждающих соответствие участника отбора требованиям, определенным пунктом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при наличии соответствующей информации в государственных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Подтверждение соответствия участника отбора требованиям, определенным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в случае отсутствия технической возможности осуществления автоматическ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III. Порядок формирования и размещения объявления о проведении отбора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Объявление о проведении отбора размещается Министерством не позднее одного календар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дня со дня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Объявление о проведении отбора формируется в электронной форме посредством заполнения Министерством соо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проведения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наименование, место нахождения, почтовый адрес, адрес электронной почты Министерства;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предоставления субсидии в соответствии с пунктом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доменное имя и (или) указатели страниц государственной информационной системы в сети «Интернет»;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участникам отбора, определенные пунктом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подтверждения соответствия указанным требованиям;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критерии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подачи участниками отбора заявок и требования, предъявляемые к форме и содержанию заявок в соответствии с пунктами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рассмотрения заявок в соответствии с пунктами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возврата заявок на доработку;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отклонения заявок, а также информацию об основаниях их отклонения в соответствии с пунктом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объем распределяемой субсидии в рамках отбора, порядок расчета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срок, в течение которого победитель отбора должен подписать соглашение в соответствии с пунктом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условия признания победителя отбора уклонившимся от заключения соглашения в соответствии с пунктом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сроки размещения протокола подведения итогов отб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 на едином портале, а также на официальном сайте Министерства https://minmol.tatarstan.ru/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победителя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IV. Порядок отмены проведения отбора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Объявление об отмене проведения отбора формируется в электронной форме посредством заполнения соответствую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Случаем отмены отбора является отзыв лимитов бюджетных обязательств, доведенных Министерству на цели, указанные в пункте 1 настоящего Порядка.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Участники отбора, подавшие заявки, информируются об отмене проведения отбора в системе «Электронный бюджет».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Отбор считается отмененным со дня размещения объявления о его отмене на едином портале.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окончания срока отмены проведения отбора в соответствии с пунктом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V. Порядок формирования и подачи участниками отбора заявок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after="0" w:afterAutospacing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 отбора формирует и подает заявку в сроки, указанные в объявлении о проведении отбора, в электронной форме посред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документов о внесении всех изменений в них, заверенные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либо иным уполномоченным лицом;</w:t>
      </w:r>
      <w:r/>
    </w:p>
    <w:p>
      <w:pPr>
        <w:pStyle w:val="849"/>
        <w:jc w:val="both"/>
        <w:spacing w:after="0" w:afterAutospacing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документов, подтверждающих полномочия руководителя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 отбора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уполномоченного им лица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копия доверенности, оформленной в соответствии с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Федерации)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;</w:t>
      </w:r>
      <w:r/>
    </w:p>
    <w:p>
      <w:pPr>
        <w:pStyle w:val="890"/>
        <w:ind w:firstLine="709"/>
        <w:jc w:val="both"/>
        <w:spacing w:after="0" w:afterAutospacing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выписки из единого государственного реестра юридических лиц;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after="0" w:afterAutospacing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свидетельства о присвоении индивидуального номера налогоплательщика;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after="0" w:afterAutospacing="0"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справки, подписанной руководителем (уполномоченным им лицом) и главным бухгалтером участника отбора (при наличии), заверенную печатью (при наличии), подтверждающую наличие опы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проведения мероприятий, подготовки и участия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чемпионате;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Для получения субсидии на возмещение затрат, связанных с организацией и проведением мероприятия, подготовкой </w:t>
      </w:r>
      <w:r>
        <w:rPr>
          <w:rFonts w:ascii="Times New Roman" w:hAnsi="Times New Roman" w:cs="Times New Roman"/>
          <w:sz w:val="28"/>
          <w:szCs w:val="28"/>
        </w:rPr>
        <w:t xml:space="preserve">и участием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юридические лица также представляют: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смету расходов на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мероприятия, подготовку и участие сборной 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чемпионате;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калькуляцию, меню с приложением расчетов и обоснованием цен (в случае расходов на организацию питания участников мероприятия, оплата по которым планируется за счет средств субсидии);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заключенные договоры, связанные с организацией и проведением мероприятия, подготовкой и участием сборной </w:t>
      </w:r>
      <w:r>
        <w:rPr>
          <w:rFonts w:ascii="Times New Roman" w:hAnsi="Times New Roman" w:cs="Times New Roman"/>
          <w:sz w:val="28"/>
          <w:szCs w:val="28"/>
        </w:rPr>
        <w:t xml:space="preserve">команды (представителей) Республики Татарстан в чемпионатах по профессиональному мастерству различного уровня и в других конкурсах в сфере образования и науки, в Международном строительном чемпионате, оплата по которым планируется за счет средств субсидии;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первичную документацию об исполнении заключенных договоров;</w:t>
      </w:r>
      <w:r/>
    </w:p>
    <w:p>
      <w:pPr>
        <w:pStyle w:val="849"/>
        <w:jc w:val="both"/>
        <w:spacing w:after="0" w:afterAutospacing="0" w:line="240" w:lineRule="auto"/>
        <w:widowControl/>
      </w:pPr>
      <w:r>
        <w:rPr>
          <w:rFonts w:ascii="Times New Roman" w:hAnsi="Times New Roman" w:cs="Times New Roman"/>
          <w:sz w:val="28"/>
          <w:szCs w:val="28"/>
        </w:rPr>
        <w:tab/>
        <w:t xml:space="preserve">платежные документы (счета, счета-фактуры, товарно-транспортные накладные, платежные поручения, приходные и расходные ордера), оформленные с учетом указания Банка России от 9 декабря 2019 г. № 5348-У «О правилах наличных расчетов».</w:t>
      </w:r>
      <w:r/>
    </w:p>
    <w:p>
      <w:pPr>
        <w:pStyle w:val="890"/>
        <w:ind w:firstLine="709"/>
        <w:jc w:val="both"/>
        <w:spacing w:after="0" w:afterAutospacing="0"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предоставлении субсидии на финансовое обеспечение затрат – сметы расходов на организацию, проведение и участие в мероприятии.</w:t>
      </w:r>
      <w:r>
        <w:rPr>
          <w:highlight w:val="none"/>
          <w:shd w:val="clear" w:color="auto" w:fill="ffffff"/>
        </w:rPr>
      </w:r>
      <w:r>
        <w:rPr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Заявка должна содержать следующие сведения: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информация и документы об участнике отбора: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полное и сокращенное наименование участника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государственный регистрационный номер участника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идентификационный номер налогоплательщика;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и код причины постановки на учет в налоговом органе;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юридического лица;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руководителе участника отбора (фамилия, имя, отчество (при наличии), идентификационный номер налогоплательщика, должность);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информация и документы, подтверждающие соответствие участника отбора установленным в объявлении о проведении отбора требованиям;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подтверждение согласия на публикацию (размещение) в сети «Интернет» информации об участнике отбора, о подаваемой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участником отбора заявке, а также иной информации об участнике отбора, связанной с соответствующим отбором и результатами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предлагаемые участником отбора значения результатов предоставления субсидии, размер запрашиваемой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пункте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Любой участник отбора со дня размещения объявления о проведении отбора на едином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портале не позднее третьего рабочего дня до дня завершения подачи заявок вправе направить Министерству не более пяти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в ответ на запрос, указанный в пункте 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дня заве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VI. Правила рассмотрения заявок, а также определения победителя отбора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в целях рассмотрения заявок формирует комиссию, в которую включаются в том числе члены общественного совета Министерства. Состав комиссии, порядок работы комиссии утверждаются приказом Министерства.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формируется из председателя комиссии, заместителя председателя комиссии, секретаря комиссии, членов комиссии.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комиссии считается правомочным, если на нем присутствует не менее половины ее членов.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Решения комиссии принимаются открытым голосованием большинством голосов присутствующих на заседании членов комиссии. В случае равенства голосов голос председателя является решающим.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Рассмотрение заявок осуществляется комиссией в системе «Электронный бюджет» в течение 15 рабочих дней, следующих за днем открытия доступа Министерству и комиссии для рассмотрения заявок.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Министерству и комиссии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системе «Электронный бюджет» Министерством может быть определена дата до окончания срока подачи заявок, после наступления которой Министерству и комиссии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открывается доступ в системе «Электронный бюджет» к поданным участниками отбора заявкам.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регистрационный номер заявки;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дата и время поступления заявки;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полное наименование участника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адрес юридического лица;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запрашиваемый участником отбора размер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 вскрытия заявок формируется на едином портале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автоматически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днем его подписания.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 соответствии заявки требованиям, указанным в объявлении о проведении отбора, принимается комиссией на дату получения результатов проверки представленных участником отбора информации и документов, поданных в составе заявки.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стадии рассмотрения заявки основаниями для отклонения заявки являются: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участника отбора требованиям, указанным в объявлении о проведении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непредставление (представление не в полном объеме) документов, указанных в объявлении о проведении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представленных документов и (или) заявки требованиям, установленным в объявлении о проведении отбора;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недостоверность информации, содержащейся в документах, представленных в составе заявки;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подача участником отбора заявки после даты и (или) времени, определенных для подачи заявок.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результатам рассмотрения заявок не позднее одного рабочего дня со дня окончания срока рассмотрения заявок комиссией подготавл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Протокол рассмотрения заявок формируется на едином портале автоматически на основании результато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рассмотрения заявок и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рабочего дня, следующего за днем его подписания.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Отбор признается несостоявшимся в следующих случаях: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по окончании срока подачи заявок не подано ни одной заявки;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по результатам рассмотрения заявок отклонены все заявки.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Ранжирование поступивших заявок осуществляется исходя из очередности их поступления.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Победителем отбора признается участник отбора, который соответствует критериям и требованиям, указанным в пунктах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и заявка которого подана первой по очередности.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целях завершения отбора и определения победителя отбора формируется протокол подведения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председателя комиссии и членов комиссии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системе «Электронный бюджет», а также размещается на едином портале не позднее одного рабочего дня, следующего за днем его подписания, и на официальном сайте Министерства не позднее 14-го календарного дня, следующего за днем определения победителя отбора. 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подведения итогов отбора включает следующие сведения: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дату, время и место проведения рассмотрения заявок;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об участниках отбора, заявки которых были рассмотрены;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получателя субсидии, с которым заключается соглашение, и размер предоставляемой ему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указании в протоколе подведения итогов отбора размера субсидии, предусмотренной для предоставления участнику отбора в соответствии с пунктом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в случае несоответствия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запрашиваемого им размера субсидии порядку расчета размера субсидии, установленному настоящим Порядком, комиссия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VII. Порядок заключения соглашений и перечисления субсидии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результатам отбора Министерством с победителем отбора заключается соглашение в соответствии с типовой формой, установленной Министерством финансов Республики Татарстан, не позднее 20-го рабочего дня после определения победителя отбора.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уменьшения Министерству ранее доведенных лимитов бюд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соглашение включается согласие получателя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достижения результатов предоставления субсидии, а также проверки органами государственного финансового контроля в соответствии со статьями 268¹ и 269² Бюджетного кодекса Российской Федерации (при предоставлении субсидии на финансовое обеспечение затрат).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реорганизации получателя су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Получатель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приобретать за счет полученных из бюджета Республики Татарстан средств иностранную валюту, за исключен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 (при предоставлении субсидии на финансовое обеспечение затрат).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не позднее пятого рабочего дня со дня, установленного в объявлении о проведении отбора срока завершения заключения соглашений, принимает решение о предоставлении субсидии получателям субсидии, которое оформляется приказом Министерства.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Основаниями для отказа получателю субсидии в предоставлении субсидии являются: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установление факта недостоверности представленной получателем субсидии информации.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не позднее 10-го рабочего дня со дня принятия решения о предоставлении субсидии перечисля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 денежные средства со своего лицевого счета, открытого в Министерстве финансов Республики Татарстан,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VIII. Порядок представления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Получатель субсидии представляет отчет о достижении значений результатов предоставления субсидии и отчет об осуществлении расходов, источником финансового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беспечения которых является субсидия, в системе «Электронный бюджет», ежеквартально, не позднее 15 числа месяца, следующего за отчетным кварталом, по формам, прилагаемым к типовой форме соглашения, установленной Министерством финансов Республики Татарстан.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осуществляет проверку отчетов, указанных в пункте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Порядка, в срок, не превышающий пяти рабочих дней со дня представления указанных отчетов.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государственного финансового контроля осуществляют проверку в соответствии со статьями 268¹ и 269² Бюджетного кодекса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Остатки субсидии, не использованные в отчетном финансовом году, при предоставлении субсидии на финансовое обеспечение затрат подлежат возврату в доход бюджета Республики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 в порядке, установленном соглашением.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потребности напр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авления средств, не использованных в отчетном финансовом году, на цели, указанные в пункте 1 настоящего Порядка, получатель субсидии представляет в Министерство не позднее 15 января года, следующего за отчетным, информацию с обоснованием такой потребности.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пункта, по согласованию с Министерством финансов Республики Татарстан принимает решение о наличии или об отсутствии потребности у получателя субсидии в направлении в текущем финансовом году остатка субсидии, не использованного в отчетном финансовом году.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отсутствия согласованного с Министерством финансов Республики Татарс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 решения о наличии потребности получателя субсидии в остатке субсидии, не использованном в отчетном финансовом году, получатель субсидии обязан возвратить указанные средства в доход бюджета Республики Татарстан до 1 февраля года, следующего за отчетным.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приня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тия Министерством решения о наличии потребности у получателя субсидии в направлении в текущем финансовом году остатка субсидии, которая была предоставлена в порядке финансового обеспечения затрат, не использованного в отчетном финансовом году, между Минист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ерством и получателем субсидии заключается дополнительное соглашение к соглашению в соответствии с типовой формой, установленной Министерством финансов Республики Татарстан, в 10-дневный срок, исчисляемый в календарных днях, со дня принятия такого решения.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Предоставленная субсидия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полном объеме – в случаях выяв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факта недостоверности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проверок, проведенных Министерством и органом государственного финансового контроля;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получателем субсидии не достигнуты установленные в соглашении значения результатов предоставления субсидии, получатель субсидии осуществляет возврат средств субсидии (V) в размере, определяемом по формуле: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m:oMathPara>
        <m:oMathParaPr>
          <m:jc m:val="center"/>
        </m:oMathParaPr>
        <m:oMath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V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=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S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x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k</m:t>
          </m:r>
        </m:oMath>
      </m:oMathPara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highlight w:val="none"/>
        </w:rPr>
      </w:pP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размер субсидии, фактически предоставленной получателю субсидии в целях достижения результатов предоставления субсидии в отчетном финансовом году, рублей;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 – коэффициент, отражающий уровень недостижения результатов предоставления субсидии, определяемый по следующей формуле: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r>
      <m:oMathPara>
        <m:oMathParaPr>
          <m:jc m:val="center"/>
        </m:oMathParaPr>
        <m:oMath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k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=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1</m:t>
          </m:r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/>
            <m:t>−</m:t>
          </m:r>
          <m:f>
            <m:fPr>
              <m:ctrlPr>
                <w:rPr>
                  <w:rFonts w:hint="default" w:ascii="Cambria Math" w:hAnsi="Cambria Math" w:eastAsia="Cambria Math" w:cs="Cambria Math"/>
                  <w:sz w:val="28"/>
                </w:rPr>
              </m:ctrlPr>
            </m:fPr>
            <m:num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/>
                <m:t>t</m:t>
              </m:r>
            </m:num>
            <m:den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/>
                <m:t>n</m:t>
              </m:r>
            </m:den>
          </m:f>
        </m:oMath>
      </m:oMathPara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где: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фактически достигнутые значения результатов предоставления субсидии на отчетную дату получателем субсидии;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плановые значения результатов предоставления субсидии, установленные соглашением получателю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размера возврата средств субсидии используются только положительные значения коэффициента, отражающие уровень недостижения результатов предоставления субсидии.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нарушении сро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возврата субсидии получателем субсидии Министерство в семидневный срок, исчисляемый в рабочих днях, со дня истечения срока, принимает меры по взысканию указанных средств в бюджет Республики Татарстан в порядке, установленном бюджетным законодательством.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spacing w:line="240" w:lineRule="auto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Контроль за эффективным использованием субсидии осуществляется Министерством в соответствии с законодательством Российской Федерации.</w:t>
      </w:r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p>
      <w:pPr>
        <w:pStyle w:val="890"/>
        <w:ind w:firstLine="709"/>
        <w:jc w:val="both"/>
        <w:widowControl/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sz w:val="28"/>
          <w:szCs w:val="28"/>
          <w:highlight w:val="none"/>
          <w:shd w:val="clear" w:color="auto" w:fill="ffffff"/>
        </w:rPr>
      </w:r>
    </w:p>
    <w:p>
      <w:pPr>
        <w:pStyle w:val="890"/>
        <w:jc w:val="center"/>
        <w:widowControl/>
        <w:rPr>
          <w:highlight w:val="non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</w:t>
      </w:r>
      <w:bookmarkStart w:id="0" w:name="_GoBack"/>
      <w:r/>
      <w:bookmarkEnd w:id="0"/>
      <w:r>
        <w:rPr>
          <w:highlight w:val="none"/>
          <w:shd w:val="clear" w:color="auto" w:fill="ffffff"/>
        </w:rPr>
      </w:r>
      <w:r>
        <w:rPr>
          <w:highlight w:val="none"/>
          <w:shd w:val="clear" w:color="auto" w:fill="ffffff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Cambria Math">
    <w:panose1 w:val="02000603000000000000"/>
  </w:font>
  <w:font w:name="Calibri Light">
    <w:panose1 w:val="020F0502020204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56143987"/>
      <w:docPartObj>
        <w:docPartGallery w:val="Page Numbers (Top of Page)"/>
        <w:docPartUnique w:val="true"/>
      </w:docPartObj>
      <w:rPr/>
    </w:sdtPr>
    <w:sdtContent>
      <w:p>
        <w:pPr>
          <w:pStyle w:val="89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20</w:t>
        </w:r>
        <w:r>
          <w:fldChar w:fldCharType="end"/>
        </w:r>
        <w:r/>
      </w:p>
    </w:sdtContent>
  </w:sdt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/>
    <w:r/>
  </w:p>
  <w:p>
    <w:pPr>
      <w:pStyle w:val="89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1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59"/>
    <w:link w:val="85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59"/>
    <w:link w:val="85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59"/>
    <w:link w:val="85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859"/>
    <w:link w:val="85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859"/>
    <w:link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859"/>
    <w:link w:val="85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859"/>
    <w:link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859"/>
    <w:link w:val="85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859"/>
    <w:link w:val="85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859"/>
    <w:link w:val="897"/>
    <w:uiPriority w:val="10"/>
    <w:rPr>
      <w:sz w:val="48"/>
      <w:szCs w:val="48"/>
    </w:rPr>
  </w:style>
  <w:style w:type="character" w:styleId="702">
    <w:name w:val="Subtitle Char"/>
    <w:basedOn w:val="859"/>
    <w:link w:val="899"/>
    <w:uiPriority w:val="11"/>
    <w:rPr>
      <w:sz w:val="24"/>
      <w:szCs w:val="24"/>
    </w:rPr>
  </w:style>
  <w:style w:type="character" w:styleId="703">
    <w:name w:val="Quote Char"/>
    <w:link w:val="901"/>
    <w:uiPriority w:val="29"/>
    <w:rPr>
      <w:i/>
    </w:rPr>
  </w:style>
  <w:style w:type="character" w:styleId="704">
    <w:name w:val="Intense Quote Char"/>
    <w:link w:val="902"/>
    <w:uiPriority w:val="30"/>
    <w:rPr>
      <w:i/>
    </w:rPr>
  </w:style>
  <w:style w:type="character" w:styleId="705">
    <w:name w:val="Header Char"/>
    <w:basedOn w:val="859"/>
    <w:link w:val="896"/>
    <w:uiPriority w:val="99"/>
  </w:style>
  <w:style w:type="character" w:styleId="706">
    <w:name w:val="Footer Char"/>
    <w:basedOn w:val="859"/>
    <w:link w:val="907"/>
    <w:uiPriority w:val="99"/>
  </w:style>
  <w:style w:type="character" w:styleId="707">
    <w:name w:val="Caption Char"/>
    <w:basedOn w:val="898"/>
    <w:link w:val="907"/>
    <w:uiPriority w:val="99"/>
  </w:style>
  <w:style w:type="table" w:styleId="708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9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9"/>
    <w:uiPriority w:val="99"/>
    <w:unhideWhenUsed/>
    <w:rPr>
      <w:vertAlign w:val="superscript"/>
    </w:rPr>
  </w:style>
  <w:style w:type="paragraph" w:styleId="836">
    <w:name w:val="endnote text"/>
    <w:basedOn w:val="849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9"/>
    <w:uiPriority w:val="99"/>
    <w:semiHidden/>
    <w:unhideWhenUsed/>
    <w:rPr>
      <w:vertAlign w:val="superscript"/>
    </w:rPr>
  </w:style>
  <w:style w:type="paragraph" w:styleId="839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8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pPr>
      <w:jc w:val="left"/>
      <w:spacing w:before="0" w:after="160" w:line="276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1"/>
      <w:szCs w:val="21"/>
      <w:lang w:val="ru-RU" w:eastAsia="en-US" w:bidi="ar-SA"/>
    </w:rPr>
  </w:style>
  <w:style w:type="paragraph" w:styleId="850">
    <w:name w:val="Heading 1"/>
    <w:basedOn w:val="849"/>
    <w:next w:val="849"/>
    <w:link w:val="863"/>
    <w:uiPriority w:val="9"/>
    <w:qFormat/>
    <w:pPr>
      <w:keepLines/>
      <w:keepNext/>
      <w:spacing w:before="360" w:after="120" w:line="240" w:lineRule="auto"/>
      <w:pBdr>
        <w:bottom w:val="single" w:color="ED7D31" w:sz="4" w:space="2"/>
      </w:pBdr>
      <w:outlineLvl w:val="0"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40"/>
      <w:szCs w:val="40"/>
    </w:rPr>
  </w:style>
  <w:style w:type="paragraph" w:styleId="851">
    <w:name w:val="Heading 2"/>
    <w:basedOn w:val="849"/>
    <w:next w:val="849"/>
    <w:link w:val="864"/>
    <w:uiPriority w:val="9"/>
    <w:semiHidden/>
    <w:unhideWhenUsed/>
    <w:qFormat/>
    <w:pPr>
      <w:keepLines/>
      <w:keepNext/>
      <w:spacing w:before="120" w:after="0" w:line="240" w:lineRule="auto"/>
      <w:outlineLvl w:val="1"/>
    </w:pPr>
    <w:rPr>
      <w:rFonts w:ascii="Calibri Light" w:hAnsi="Calibri Light" w:asciiTheme="majorHAnsi" w:hAnsiTheme="majorHAnsi" w:eastAsiaTheme="majorEastAsia" w:cstheme="majorBidi"/>
      <w:color w:val="ed7d31" w:themeColor="accent2"/>
      <w:sz w:val="36"/>
      <w:szCs w:val="36"/>
    </w:rPr>
  </w:style>
  <w:style w:type="paragraph" w:styleId="852">
    <w:name w:val="Heading 3"/>
    <w:basedOn w:val="849"/>
    <w:next w:val="849"/>
    <w:link w:val="860"/>
    <w:uiPriority w:val="9"/>
    <w:unhideWhenUsed/>
    <w:qFormat/>
    <w:pPr>
      <w:keepLines/>
      <w:keepNext/>
      <w:spacing w:before="80" w:after="0" w:line="240" w:lineRule="auto"/>
      <w:outlineLvl w:val="2"/>
    </w:pPr>
    <w:rPr>
      <w:rFonts w:ascii="Calibri Light" w:hAnsi="Calibri Light" w:asciiTheme="majorHAnsi" w:hAnsiTheme="majorHAnsi" w:eastAsiaTheme="majorEastAsia" w:cstheme="majorBidi"/>
      <w:color w:val="c45911" w:themeColor="accent2" w:themeShade="BF"/>
      <w:sz w:val="32"/>
      <w:szCs w:val="32"/>
    </w:rPr>
  </w:style>
  <w:style w:type="paragraph" w:styleId="853">
    <w:name w:val="Heading 4"/>
    <w:basedOn w:val="849"/>
    <w:next w:val="849"/>
    <w:link w:val="865"/>
    <w:uiPriority w:val="9"/>
    <w:semiHidden/>
    <w:unhideWhenUsed/>
    <w:qFormat/>
    <w:pPr>
      <w:keepLines/>
      <w:keepNext/>
      <w:spacing w:before="80" w:after="0" w:line="240" w:lineRule="auto"/>
      <w:outlineLvl w:val="3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paragraph" w:styleId="854">
    <w:name w:val="Heading 5"/>
    <w:basedOn w:val="849"/>
    <w:next w:val="849"/>
    <w:link w:val="866"/>
    <w:uiPriority w:val="9"/>
    <w:semiHidden/>
    <w:unhideWhenUsed/>
    <w:qFormat/>
    <w:pPr>
      <w:keepLines/>
      <w:keepNext/>
      <w:spacing w:before="80" w:after="0" w:line="240" w:lineRule="auto"/>
      <w:outlineLvl w:val="4"/>
    </w:pPr>
    <w:rPr>
      <w:rFonts w:ascii="Calibri Light" w:hAnsi="Calibri Light" w:asciiTheme="majorHAnsi" w:hAnsiTheme="majorHAnsi" w:eastAsiaTheme="majorEastAsia" w:cstheme="majorBidi"/>
      <w:color w:val="c45911" w:themeColor="accent2" w:themeShade="BF"/>
      <w:sz w:val="24"/>
      <w:szCs w:val="24"/>
    </w:rPr>
  </w:style>
  <w:style w:type="paragraph" w:styleId="855">
    <w:name w:val="Heading 6"/>
    <w:basedOn w:val="849"/>
    <w:next w:val="849"/>
    <w:link w:val="867"/>
    <w:uiPriority w:val="9"/>
    <w:semiHidden/>
    <w:unhideWhenUsed/>
    <w:qFormat/>
    <w:pPr>
      <w:keepLines/>
      <w:keepNext/>
      <w:spacing w:before="80" w:after="0" w:line="240" w:lineRule="auto"/>
      <w:outlineLvl w:val="5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paragraph" w:styleId="856">
    <w:name w:val="Heading 7"/>
    <w:basedOn w:val="849"/>
    <w:next w:val="849"/>
    <w:link w:val="868"/>
    <w:uiPriority w:val="9"/>
    <w:semiHidden/>
    <w:unhideWhenUsed/>
    <w:qFormat/>
    <w:pPr>
      <w:keepLines/>
      <w:keepNext/>
      <w:spacing w:before="80" w:after="0" w:line="240" w:lineRule="auto"/>
      <w:outlineLvl w:val="6"/>
    </w:pPr>
    <w:rPr>
      <w:rFonts w:ascii="Calibri Light" w:hAnsi="Calibri Light"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paragraph" w:styleId="857">
    <w:name w:val="Heading 8"/>
    <w:basedOn w:val="849"/>
    <w:next w:val="849"/>
    <w:link w:val="869"/>
    <w:uiPriority w:val="9"/>
    <w:semiHidden/>
    <w:unhideWhenUsed/>
    <w:qFormat/>
    <w:pPr>
      <w:keepLines/>
      <w:keepNext/>
      <w:spacing w:before="80" w:after="0" w:line="240" w:lineRule="auto"/>
      <w:outlineLvl w:val="7"/>
    </w:pPr>
    <w:rPr>
      <w:rFonts w:ascii="Calibri Light" w:hAnsi="Calibri Light" w:asciiTheme="majorHAnsi" w:hAnsiTheme="majorHAnsi" w:eastAsiaTheme="majorEastAsia" w:cstheme="majorBidi"/>
      <w:color w:val="833c0b" w:themeColor="accent2" w:themeShade="80"/>
      <w:sz w:val="22"/>
      <w:szCs w:val="22"/>
    </w:rPr>
  </w:style>
  <w:style w:type="paragraph" w:styleId="858">
    <w:name w:val="Heading 9"/>
    <w:basedOn w:val="849"/>
    <w:next w:val="849"/>
    <w:link w:val="870"/>
    <w:uiPriority w:val="9"/>
    <w:semiHidden/>
    <w:unhideWhenUsed/>
    <w:qFormat/>
    <w:pPr>
      <w:keepLines/>
      <w:keepNext/>
      <w:spacing w:before="80" w:after="0" w:line="240" w:lineRule="auto"/>
      <w:outlineLvl w:val="8"/>
    </w:pPr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character" w:styleId="859" w:default="1">
    <w:name w:val="Default Paragraph Font"/>
    <w:uiPriority w:val="1"/>
    <w:semiHidden/>
    <w:unhideWhenUsed/>
    <w:qFormat/>
  </w:style>
  <w:style w:type="character" w:styleId="860" w:customStyle="1">
    <w:name w:val="Заголовок 3 Знак"/>
    <w:basedOn w:val="859"/>
    <w:uiPriority w:val="9"/>
    <w:qFormat/>
    <w:rPr>
      <w:rFonts w:ascii="Calibri Light" w:hAnsi="Calibri Light" w:asciiTheme="majorHAnsi" w:hAnsiTheme="majorHAnsi" w:eastAsiaTheme="majorEastAsia" w:cstheme="majorBidi"/>
      <w:color w:val="c45911" w:themeColor="accent2" w:themeShade="BF"/>
      <w:sz w:val="32"/>
      <w:szCs w:val="32"/>
    </w:rPr>
  </w:style>
  <w:style w:type="character" w:styleId="861" w:customStyle="1">
    <w:name w:val="Верхний колонтитул Знак"/>
    <w:basedOn w:val="859"/>
    <w:uiPriority w:val="99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2" w:customStyle="1">
    <w:name w:val="Название Знак"/>
    <w:basedOn w:val="859"/>
    <w:uiPriority w:val="10"/>
    <w:qFormat/>
    <w:rPr>
      <w:rFonts w:ascii="Calibri Light" w:hAnsi="Calibri Light" w:asciiTheme="majorHAnsi" w:hAnsiTheme="majorHAnsi" w:eastAsiaTheme="majorEastAsia" w:cstheme="majorBidi"/>
      <w:color w:val="262626" w:themeColor="text1" w:themeTint="D9"/>
      <w:sz w:val="96"/>
      <w:szCs w:val="96"/>
    </w:rPr>
  </w:style>
  <w:style w:type="character" w:styleId="863" w:customStyle="1">
    <w:name w:val="Заголовок 1 Знак"/>
    <w:basedOn w:val="859"/>
    <w:uiPriority w:val="9"/>
    <w:qFormat/>
    <w:rPr>
      <w:rFonts w:ascii="Calibri Light" w:hAnsi="Calibri Light" w:asciiTheme="majorHAnsi" w:hAnsiTheme="majorHAnsi" w:eastAsiaTheme="majorEastAsia" w:cstheme="majorBidi"/>
      <w:color w:val="262626" w:themeColor="text1" w:themeTint="D9"/>
      <w:sz w:val="40"/>
      <w:szCs w:val="40"/>
    </w:rPr>
  </w:style>
  <w:style w:type="character" w:styleId="864" w:customStyle="1">
    <w:name w:val="Заголовок 2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color w:val="ed7d31" w:themeColor="accent2"/>
      <w:sz w:val="36"/>
      <w:szCs w:val="36"/>
    </w:rPr>
  </w:style>
  <w:style w:type="character" w:styleId="865" w:customStyle="1">
    <w:name w:val="Заголовок 4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8"/>
      <w:szCs w:val="28"/>
    </w:rPr>
  </w:style>
  <w:style w:type="character" w:styleId="866" w:customStyle="1">
    <w:name w:val="Заголовок 5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color w:val="c45911" w:themeColor="accent2" w:themeShade="BF"/>
      <w:sz w:val="24"/>
      <w:szCs w:val="24"/>
    </w:rPr>
  </w:style>
  <w:style w:type="character" w:styleId="867" w:customStyle="1">
    <w:name w:val="Заголовок 6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4"/>
      <w:szCs w:val="24"/>
    </w:rPr>
  </w:style>
  <w:style w:type="character" w:styleId="868" w:customStyle="1">
    <w:name w:val="Заголовок 7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833c0b" w:themeColor="accent2" w:themeShade="80"/>
      <w:sz w:val="22"/>
      <w:szCs w:val="22"/>
    </w:rPr>
  </w:style>
  <w:style w:type="character" w:styleId="869" w:customStyle="1">
    <w:name w:val="Заголовок 8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color w:val="833c0b" w:themeColor="accent2" w:themeShade="80"/>
      <w:sz w:val="22"/>
      <w:szCs w:val="22"/>
    </w:rPr>
  </w:style>
  <w:style w:type="character" w:styleId="870" w:customStyle="1">
    <w:name w:val="Заголовок 9 Знак"/>
    <w:basedOn w:val="859"/>
    <w:uiPriority w:val="9"/>
    <w:semiHidden/>
    <w:qFormat/>
    <w:rPr>
      <w:rFonts w:ascii="Calibri Light" w:hAnsi="Calibri Light" w:asciiTheme="majorHAnsi" w:hAnsiTheme="majorHAnsi" w:eastAsiaTheme="majorEastAsia" w:cstheme="majorBidi"/>
      <w:i/>
      <w:iCs/>
      <w:color w:val="833c0b" w:themeColor="accent2" w:themeShade="80"/>
      <w:sz w:val="22"/>
      <w:szCs w:val="22"/>
    </w:rPr>
  </w:style>
  <w:style w:type="character" w:styleId="871" w:customStyle="1">
    <w:name w:val="Подзаголовок Знак"/>
    <w:basedOn w:val="859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872">
    <w:name w:val="Strong"/>
    <w:basedOn w:val="859"/>
    <w:uiPriority w:val="22"/>
    <w:qFormat/>
    <w:rPr>
      <w:b/>
      <w:bCs/>
    </w:rPr>
  </w:style>
  <w:style w:type="character" w:styleId="873">
    <w:name w:val="Emphasis"/>
    <w:basedOn w:val="859"/>
    <w:uiPriority w:val="20"/>
    <w:qFormat/>
    <w:rPr>
      <w:i/>
      <w:iCs/>
      <w:color w:val="000000" w:themeColor="text1"/>
    </w:rPr>
  </w:style>
  <w:style w:type="character" w:styleId="874" w:customStyle="1">
    <w:name w:val="Цитата 2 Знак"/>
    <w:basedOn w:val="859"/>
    <w:link w:val="901"/>
    <w:uiPriority w:val="29"/>
    <w:qFormat/>
    <w:rPr>
      <w:rFonts w:ascii="Calibri Light" w:hAnsi="Calibri Light"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875" w:customStyle="1">
    <w:name w:val="Выделенная цитата Знак"/>
    <w:basedOn w:val="859"/>
    <w:link w:val="902"/>
    <w:uiPriority w:val="30"/>
    <w:qFormat/>
    <w:rPr>
      <w:rFonts w:ascii="Calibri Light" w:hAnsi="Calibri Light" w:asciiTheme="majorHAnsi" w:hAnsiTheme="majorHAnsi" w:eastAsiaTheme="majorEastAsia" w:cstheme="majorBidi"/>
      <w:sz w:val="24"/>
      <w:szCs w:val="24"/>
    </w:rPr>
  </w:style>
  <w:style w:type="character" w:styleId="876">
    <w:name w:val="Subtle Emphasis"/>
    <w:basedOn w:val="859"/>
    <w:uiPriority w:val="19"/>
    <w:qFormat/>
    <w:rPr>
      <w:i/>
      <w:iCs/>
      <w:color w:val="595959" w:themeColor="text1" w:themeTint="A6"/>
    </w:rPr>
  </w:style>
  <w:style w:type="character" w:styleId="877">
    <w:name w:val="Intense Emphasis"/>
    <w:basedOn w:val="859"/>
    <w:uiPriority w:val="21"/>
    <w:qFormat/>
    <w:rPr>
      <w:b/>
      <w:bCs/>
      <w:i/>
      <w:iCs/>
      <w:caps w:val="0"/>
      <w:smallCaps w:val="0"/>
      <w:strike w:val="0"/>
      <w:color w:val="ed7d31" w:themeColor="accent2"/>
    </w:rPr>
  </w:style>
  <w:style w:type="character" w:styleId="878">
    <w:name w:val="Subtle Reference"/>
    <w:basedOn w:val="859"/>
    <w:uiPriority w:val="31"/>
    <w:qFormat/>
    <w:rPr>
      <w:smallCaps/>
      <w:color w:val="404040" w:themeColor="text1" w:themeTint="BF"/>
      <w:spacing w:val="0"/>
      <w:u w:val="single"/>
    </w:rPr>
  </w:style>
  <w:style w:type="character" w:styleId="879">
    <w:name w:val="Intense Reference"/>
    <w:basedOn w:val="859"/>
    <w:uiPriority w:val="32"/>
    <w:qFormat/>
    <w:rPr>
      <w:b/>
      <w:bCs/>
      <w:smallCaps/>
      <w:color w:val="auto"/>
      <w:spacing w:val="0"/>
      <w:u w:val="single"/>
    </w:rPr>
  </w:style>
  <w:style w:type="character" w:styleId="880">
    <w:name w:val="Book Title"/>
    <w:basedOn w:val="859"/>
    <w:uiPriority w:val="33"/>
    <w:qFormat/>
    <w:rPr>
      <w:b/>
      <w:bCs/>
      <w:smallCaps/>
      <w:spacing w:val="0"/>
    </w:rPr>
  </w:style>
  <w:style w:type="character" w:styleId="881" w:customStyle="1">
    <w:name w:val="Текст выноски Знак"/>
    <w:basedOn w:val="859"/>
    <w:link w:val="905"/>
    <w:uiPriority w:val="99"/>
    <w:semiHidden/>
    <w:qFormat/>
    <w:rPr>
      <w:rFonts w:ascii="Segoe UI" w:hAnsi="Segoe UI" w:cs="Segoe UI"/>
      <w:sz w:val="18"/>
      <w:szCs w:val="18"/>
    </w:rPr>
  </w:style>
  <w:style w:type="character" w:styleId="882" w:customStyle="1">
    <w:name w:val="Нижний колонтитул Знак"/>
    <w:basedOn w:val="859"/>
    <w:uiPriority w:val="99"/>
    <w:qFormat/>
  </w:style>
  <w:style w:type="character" w:styleId="883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84">
    <w:name w:val="Placeholder Text"/>
    <w:basedOn w:val="859"/>
    <w:uiPriority w:val="99"/>
    <w:semiHidden/>
    <w:qFormat/>
    <w:rPr>
      <w:color w:val="808080"/>
    </w:rPr>
  </w:style>
  <w:style w:type="paragraph" w:styleId="885">
    <w:name w:val="Заголовок"/>
    <w:basedOn w:val="849"/>
    <w:next w:val="886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86">
    <w:name w:val="Body Text"/>
    <w:basedOn w:val="849"/>
    <w:pPr>
      <w:spacing w:before="0" w:after="140" w:line="276" w:lineRule="auto"/>
    </w:pPr>
  </w:style>
  <w:style w:type="paragraph" w:styleId="887">
    <w:name w:val="List"/>
    <w:basedOn w:val="886"/>
    <w:rPr>
      <w:rFonts w:ascii="PT Astra Serif" w:hAnsi="PT Astra Serif" w:cs="Noto Sans Devanagari"/>
    </w:rPr>
  </w:style>
  <w:style w:type="paragraph" w:styleId="888">
    <w:name w:val="Caption"/>
    <w:basedOn w:val="84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9">
    <w:name w:val="Указатель"/>
    <w:basedOn w:val="849"/>
    <w:qFormat/>
    <w:pPr>
      <w:suppressLineNumbers/>
    </w:pPr>
    <w:rPr>
      <w:rFonts w:ascii="PT Astra Serif" w:hAnsi="PT Astra Serif" w:cs="Noto Sans Devanagari"/>
    </w:rPr>
  </w:style>
  <w:style w:type="paragraph" w:styleId="890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1"/>
      <w:szCs w:val="20"/>
      <w:lang w:val="ru-RU" w:eastAsia="ru-RU" w:bidi="ar-SA"/>
    </w:rPr>
  </w:style>
  <w:style w:type="paragraph" w:styleId="891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92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b/>
      <w:color w:val="auto"/>
      <w:sz w:val="21"/>
      <w:szCs w:val="20"/>
      <w:lang w:val="ru-RU" w:eastAsia="ru-RU" w:bidi="ar-SA"/>
    </w:rPr>
  </w:style>
  <w:style w:type="paragraph" w:styleId="893" w:customStyle="1">
    <w:name w:val="ConsPlusTitlePage"/>
    <w:qFormat/>
    <w:pPr>
      <w:jc w:val="left"/>
      <w:spacing w:before="0" w:after="0" w:line="240" w:lineRule="auto"/>
      <w:widowControl w:val="off"/>
    </w:pPr>
    <w:rPr>
      <w:rFonts w:ascii="Tahoma" w:hAnsi="Tahoma" w:eastAsia="Times New Roman" w:cs="Tahoma"/>
      <w:color w:val="auto"/>
      <w:sz w:val="20"/>
      <w:szCs w:val="20"/>
      <w:lang w:val="ru-RU" w:eastAsia="ru-RU" w:bidi="ar-SA"/>
    </w:rPr>
  </w:style>
  <w:style w:type="paragraph" w:styleId="894" w:customStyle="1">
    <w:name w:val="ConsTitle"/>
    <w:qFormat/>
    <w:pPr>
      <w:ind w:right="19772" w:firstLine="0"/>
      <w:jc w:val="left"/>
      <w:spacing w:before="0" w:after="0" w:line="240" w:lineRule="auto"/>
      <w:widowControl/>
    </w:pPr>
    <w:rPr>
      <w:rFonts w:ascii="Arial" w:hAnsi="Arial" w:eastAsia="Times New Roman" w:cs="Arial"/>
      <w:b/>
      <w:bCs/>
      <w:color w:val="auto"/>
      <w:sz w:val="16"/>
      <w:szCs w:val="16"/>
      <w:lang w:val="ru-RU" w:eastAsia="ru-RU" w:bidi="ar-SA"/>
    </w:rPr>
  </w:style>
  <w:style w:type="paragraph" w:styleId="895">
    <w:name w:val="Колонтитул"/>
    <w:basedOn w:val="849"/>
    <w:qFormat/>
  </w:style>
  <w:style w:type="paragraph" w:styleId="896">
    <w:name w:val="Header"/>
    <w:basedOn w:val="849"/>
    <w:link w:val="861"/>
    <w:uiPriority w:val="99"/>
    <w:pPr>
      <w:spacing w:before="0" w:after="0" w:line="240" w:lineRule="auto"/>
      <w:tabs>
        <w:tab w:val="clear" w:pos="708" w:leader="none"/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7">
    <w:name w:val="Title"/>
    <w:basedOn w:val="849"/>
    <w:next w:val="849"/>
    <w:link w:val="862"/>
    <w:uiPriority w:val="10"/>
    <w:qFormat/>
    <w:pPr>
      <w:contextualSpacing/>
      <w:spacing w:before="0" w:after="0" w:line="240" w:lineRule="auto"/>
    </w:pPr>
    <w:rPr>
      <w:rFonts w:ascii="Calibri Light" w:hAnsi="Calibri Light" w:asciiTheme="majorHAnsi" w:hAnsiTheme="majorHAnsi" w:eastAsiaTheme="majorEastAsia" w:cstheme="majorBidi"/>
      <w:color w:val="262626" w:themeColor="text1" w:themeTint="D9"/>
      <w:sz w:val="96"/>
      <w:szCs w:val="96"/>
    </w:rPr>
  </w:style>
  <w:style w:type="paragraph" w:styleId="898">
    <w:name w:val="Caption"/>
    <w:basedOn w:val="849"/>
    <w:next w:val="849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899">
    <w:name w:val="Subtitle"/>
    <w:basedOn w:val="849"/>
    <w:next w:val="849"/>
    <w:link w:val="871"/>
    <w:uiPriority w:val="11"/>
    <w:qFormat/>
    <w:pPr>
      <w:spacing w:before="0" w:after="240"/>
    </w:pPr>
    <w:rPr>
      <w:caps/>
      <w:color w:val="404040" w:themeColor="text1" w:themeTint="BF"/>
      <w:spacing w:val="20"/>
      <w:sz w:val="28"/>
      <w:szCs w:val="28"/>
    </w:rPr>
  </w:style>
  <w:style w:type="paragraph" w:styleId="900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asciiTheme="minorHAnsi" w:hAnsiTheme="minorHAnsi" w:eastAsiaTheme="minorEastAsia" w:cstheme="minorBidi"/>
      <w:color w:val="auto"/>
      <w:sz w:val="21"/>
      <w:szCs w:val="21"/>
      <w:lang w:val="ru-RU" w:eastAsia="en-US" w:bidi="ar-SA"/>
    </w:rPr>
  </w:style>
  <w:style w:type="paragraph" w:styleId="901">
    <w:name w:val="Quote"/>
    <w:basedOn w:val="849"/>
    <w:next w:val="849"/>
    <w:link w:val="874"/>
    <w:uiPriority w:val="29"/>
    <w:qFormat/>
    <w:pPr>
      <w:ind w:left="720" w:right="720" w:firstLine="0"/>
      <w:jc w:val="center"/>
      <w:spacing w:before="160" w:after="160"/>
    </w:pPr>
    <w:rPr>
      <w:rFonts w:ascii="Calibri Light" w:hAnsi="Calibri Light"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902">
    <w:name w:val="Intense Quote"/>
    <w:basedOn w:val="849"/>
    <w:next w:val="849"/>
    <w:link w:val="875"/>
    <w:uiPriority w:val="30"/>
    <w:qFormat/>
    <w:pPr>
      <w:ind w:left="936" w:right="936" w:firstLine="0"/>
      <w:jc w:val="center"/>
      <w:spacing w:before="240" w:after="240" w:line="240" w:lineRule="auto"/>
      <w:pBdr>
        <w:top w:val="single" w:color="ED7D31" w:sz="24" w:space="4"/>
      </w:pBdr>
    </w:pPr>
    <w:rPr>
      <w:rFonts w:ascii="Calibri Light" w:hAnsi="Calibri Light" w:asciiTheme="majorHAnsi" w:hAnsiTheme="majorHAnsi" w:eastAsiaTheme="majorEastAsia" w:cstheme="majorBidi"/>
      <w:sz w:val="24"/>
      <w:szCs w:val="24"/>
    </w:rPr>
  </w:style>
  <w:style w:type="paragraph" w:styleId="903">
    <w:name w:val="Index Heading"/>
    <w:basedOn w:val="885"/>
  </w:style>
  <w:style w:type="paragraph" w:styleId="904">
    <w:name w:val="TOC Heading"/>
    <w:basedOn w:val="850"/>
    <w:next w:val="849"/>
    <w:uiPriority w:val="39"/>
    <w:semiHidden/>
    <w:unhideWhenUsed/>
    <w:qFormat/>
    <w:pPr>
      <w:outlineLvl w:val="9"/>
    </w:pPr>
  </w:style>
  <w:style w:type="paragraph" w:styleId="905">
    <w:name w:val="Balloon Text"/>
    <w:basedOn w:val="849"/>
    <w:link w:val="881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906">
    <w:name w:val="List Paragraph"/>
    <w:basedOn w:val="849"/>
    <w:uiPriority w:val="34"/>
    <w:qFormat/>
    <w:pPr>
      <w:contextualSpacing/>
      <w:ind w:left="720" w:firstLine="0"/>
      <w:spacing w:before="0" w:after="160"/>
    </w:pPr>
  </w:style>
  <w:style w:type="paragraph" w:styleId="907">
    <w:name w:val="Footer"/>
    <w:basedOn w:val="849"/>
    <w:link w:val="882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908" w:default="1">
    <w:name w:val="No List"/>
    <w:uiPriority w:val="99"/>
    <w:semiHidden/>
    <w:unhideWhenUsed/>
    <w:qFormat/>
  </w:style>
  <w:style w:type="table" w:styleId="90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10">
    <w:name w:val="Table Grid"/>
    <w:basedOn w:val="909"/>
    <w:uiPriority w:val="39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3A75-9BD3-4486-8CC6-14FA8FE9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dc:language>ru-RU</dc:language>
  <cp:revision>63</cp:revision>
  <dcterms:created xsi:type="dcterms:W3CDTF">2021-11-03T09:57:00Z</dcterms:created>
  <dcterms:modified xsi:type="dcterms:W3CDTF">2024-10-21T09:16:39Z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