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37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37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left="737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Кабинета Министров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left="737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Татарстан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left="7371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 </w:t>
      </w:r>
      <w:r>
        <w:rPr>
          <w:rFonts w:ascii="Times New Roman" w:hAnsi="Times New Roman" w:cs="Times New Roman"/>
          <w:sz w:val="28"/>
          <w:szCs w:val="28"/>
        </w:rPr>
        <w:t xml:space="preserve">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предоставления в 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году грантов в форме субсидий из бюджета Республики Т</w:t>
      </w:r>
      <w:r>
        <w:rPr>
          <w:rFonts w:ascii="Times New Roman" w:hAnsi="Times New Roman" w:cs="Times New Roman"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Cs/>
          <w:sz w:val="28"/>
          <w:szCs w:val="28"/>
        </w:rPr>
        <w:t xml:space="preserve">тарстан на выплату денежного вознаграждения лауреатам премии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Республики Татарстан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социально ориентированным некоммерческим организациям за вклад в развитие институтов гражданского общества в Республике Татарстан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кодексом Российской Федерации,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постановлением Правительства Российской Федерации от 25 октября 2023 г. № 1782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льным предпринимателям, а также физическим лицам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</w:t>
      </w:r>
      <w:r/>
      <w:r>
        <w:rPr>
          <w:rFonts w:ascii="Times New Roman" w:hAnsi="Times New Roman" w:cs="Times New Roman"/>
          <w:sz w:val="28"/>
          <w:szCs w:val="28"/>
        </w:rPr>
        <w:t xml:space="preserve">, Бюджетным кодексом Республики Татарстан,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каз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Респу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лики Татарстан от 3 июля 2015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УП-619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учреждении премии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публики Татарстан за вклад в развитие институтов гражданского общества в Ре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публике Татарстан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Указ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присуждении премий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за вклад в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ститутов гражданского общества в Республике Татарстан в 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нием Кабинета Министров Республики Татарстан от 26.02.2021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107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утве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ждении Положения о порядке и условиях выплаты денежного вознаграждения ла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реатам премии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за вклад в развитие институтов гра</w:t>
      </w:r>
      <w:r>
        <w:rPr>
          <w:rFonts w:ascii="Times New Roman" w:hAnsi="Times New Roman" w:cs="Times New Roman"/>
          <w:sz w:val="28"/>
          <w:szCs w:val="28"/>
        </w:rPr>
        <w:t xml:space="preserve">ж</w:t>
      </w:r>
      <w:r>
        <w:rPr>
          <w:rFonts w:ascii="Times New Roman" w:hAnsi="Times New Roman" w:cs="Times New Roman"/>
          <w:sz w:val="28"/>
          <w:szCs w:val="28"/>
        </w:rPr>
        <w:t xml:space="preserve">данского общества в Республике Татарстан и о признании утратившими силу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дельных 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становлений Кабинета Министров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и определяет механизм предоставления из бюджета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Татарстан в 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году грантов в форме субсидий на выплату денежного вознаграждения лауреатам премии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ям за вклад в развитие институтов гражданского общества в Республике Татарстан (далее соо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ветственно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гранты, лауреаты премии).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Гранты выплачиваются лауреатам премии, указ</w:t>
      </w:r>
      <w:r>
        <w:rPr>
          <w:rFonts w:ascii="Times New Roman" w:hAnsi="Times New Roman" w:cs="Times New Roman"/>
          <w:sz w:val="28"/>
          <w:szCs w:val="28"/>
        </w:rPr>
        <w:t xml:space="preserve">анным в подпунктах 4 – 8 </w:t>
      </w:r>
      <w:r>
        <w:rPr>
          <w:rFonts w:ascii="Times New Roman" w:hAnsi="Times New Roman" w:cs="Times New Roman"/>
          <w:sz w:val="28"/>
          <w:szCs w:val="28"/>
        </w:rPr>
        <w:t xml:space="preserve">пункта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 xml:space="preserve">Указ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суждении премий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за вклад в развитие институтов гражданского общества в Республике Татарстан в 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размере, устано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ленном</w:t>
      </w:r>
      <w:r>
        <w:rPr>
          <w:rFonts w:ascii="Times New Roman" w:hAnsi="Times New Roman" w:cs="Times New Roman"/>
          <w:sz w:val="28"/>
          <w:szCs w:val="28"/>
        </w:rPr>
        <w:t xml:space="preserve"> абзацем третьим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премии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стан за вклад в развитие институтов гражданского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в Республике Татарстан,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Указом Президента Республики Татарстан от 3 июля 2015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УП-619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учреждении премии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за вклад в развитие институтов гражданского общества в Республике Татарстан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Предоставление грантов осуществляется в пределах бюджетных ассигнов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ний и лимитов бюджетных обязательств, доведенных в установленном порядке до главного распорядителя бюджетных средств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юстиции Республики Татарстан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Министерство) как до получателя бюджетных средств на цель, указанную в пункте 1 настоящего Порядка.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Способом предоставления гранта является финансовое обеспечение затрат.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Информация о гранте размещается на едином портале бюджетной системы Российской Федерации в информационно-телекоммуникационной сети «Интернет» в разделе «Бюджет» в порядке, установленном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Направления расходов, источником финансового обеспечения которых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ляется грант: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закупку работ и услуг, связанных с организацией деятельности, разработкой и реализацией проектов (инициатив), научных исследований в области гражданского общества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мероприятия);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приобретение изделий, комплектующих, материалов, оборудов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ния, программного обеспечения, необходимых для разработки и реализации мер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приятий;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имущественных прав, в том числе прав на результаты интелле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туальной деятельности;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 штатных и внештатных работников;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транспортные услуги;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командировочные расходы, расходы на проживание и питание;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горюче-смазочных материалов; услуги связи;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страховых взносов во внебюджетные фонды, взносов по обязательному социальному страхованию от несчастных случаев на производстве и професси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нальных заболеваний, государственных пошлин, иных обязательных отчислений и платежей в бюджеты бюджетной системы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расходы, связанные с разработкой и реализацией мероприятий.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Лауреат премии на первое число месяца, в котором планируется заключение соглашения о предоставлении гранта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соглашение), должен соответствовать следующим требованиям: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r>
        <w:rPr>
          <w:rFonts w:ascii="Times New Roman" w:hAnsi="Times New Roman" w:cs="Times New Roman"/>
          <w:sz w:val="28"/>
          <w:szCs w:val="28"/>
        </w:rPr>
        <w:t xml:space="preserve">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</w:t>
      </w:r>
      <w:r>
        <w:rPr>
          <w:rFonts w:ascii="Times New Roman" w:hAnsi="Times New Roman" w:cs="Times New Roman"/>
          <w:sz w:val="28"/>
          <w:szCs w:val="28"/>
        </w:rPr>
        <w:t xml:space="preserve">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</w:t>
      </w:r>
      <w:r>
        <w:rPr>
          <w:rFonts w:ascii="Times New Roman" w:hAnsi="Times New Roman" w:cs="Times New Roman"/>
          <w:sz w:val="28"/>
          <w:szCs w:val="28"/>
        </w:rPr>
        <w:t xml:space="preserve">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</w:t>
      </w:r>
      <w:r>
        <w:rPr>
          <w:rFonts w:ascii="Times New Roman" w:hAnsi="Times New Roman" w:cs="Times New Roman"/>
          <w:sz w:val="28"/>
          <w:szCs w:val="28"/>
        </w:rPr>
        <w:t xml:space="preserve"> в капитале указанных публичных акционерных обществ;</w:t>
      </w:r>
      <w:r/>
    </w:p>
    <w:p>
      <w:pPr>
        <w:pStyle w:val="712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pStyle w:val="712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не находится в составляемых в рамках реализации полномочий, предусмотренных главой VII Устава Организации Объединенных Наций, Советом Безопасности Организации Объединенных Наций или органами, специально созданными решениями Совета Безопасности Организации О</w:t>
      </w:r>
      <w:r>
        <w:rPr>
          <w:rFonts w:ascii="Times New Roman" w:hAnsi="Times New Roman" w:cs="Times New Roman"/>
          <w:sz w:val="28"/>
          <w:szCs w:val="28"/>
        </w:rPr>
        <w:t xml:space="preserve">бъединенных Наций,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pStyle w:val="712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не получает средства из бюджета Республики Татарстан на основании иных нормативных правовых актов Республики Татарстан на цели, указанные в пункте 1 настоящего Порядка;</w:t>
      </w:r>
      <w:r/>
    </w:p>
    <w:p>
      <w:pPr>
        <w:pStyle w:val="712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влиянием»;</w:t>
      </w:r>
      <w:r/>
    </w:p>
    <w:p>
      <w:pPr>
        <w:pStyle w:val="712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  <w:r/>
    </w:p>
    <w:p>
      <w:pPr>
        <w:pStyle w:val="712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не имеет просроченной задолженности по возврату в бюджет Республики Татарстан иных субсидий, бюджетных инвестиций, а также иной просроченной (неурегулированной) задолженности по денежным обязательствам перед Республикой Татарстан (за исключением случаев, ус</w:t>
      </w:r>
      <w:r>
        <w:rPr>
          <w:rFonts w:ascii="Times New Roman" w:hAnsi="Times New Roman" w:cs="Times New Roman"/>
          <w:sz w:val="28"/>
          <w:szCs w:val="28"/>
        </w:rPr>
        <w:t xml:space="preserve">тановленных Кабинетом Министров Республики Татарстан);</w:t>
      </w:r>
      <w:r/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находится в процессе реорганизации (за исключением реорганизации в форме присоединения к </w:t>
      </w:r>
      <w:r>
        <w:rPr>
          <w:rFonts w:ascii="Times New Roman" w:hAnsi="Times New Roman" w:cs="Times New Roman"/>
          <w:sz w:val="28"/>
          <w:szCs w:val="28"/>
        </w:rPr>
        <w:t xml:space="preserve">лауреату премии</w:t>
      </w:r>
      <w:r/>
      <w:r>
        <w:rPr>
          <w:rFonts w:ascii="Times New Roman" w:hAnsi="Times New Roman" w:cs="Times New Roman"/>
          <w:sz w:val="28"/>
          <w:szCs w:val="28"/>
        </w:rPr>
        <w:t xml:space="preserve"> другого юридического лица), ликвидации, в отношении его не введена процедура банкротства,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лауреата премии</w:t>
      </w:r>
      <w:r/>
      <w:r>
        <w:rPr>
          <w:rFonts w:ascii="Times New Roman" w:hAnsi="Times New Roman" w:cs="Times New Roman"/>
          <w:sz w:val="28"/>
          <w:szCs w:val="28"/>
        </w:rPr>
        <w:t xml:space="preserve"> не приостановлена в порядке, предусмотренном зак</w:t>
      </w:r>
      <w:r>
        <w:rPr>
          <w:rFonts w:ascii="Times New Roman" w:hAnsi="Times New Roman" w:cs="Times New Roman"/>
          <w:sz w:val="28"/>
          <w:szCs w:val="28"/>
        </w:rPr>
        <w:t xml:space="preserve">онодательством Российской Федерации.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Для получения гранта лауреат премии представляет в Министерство заявку на предоставление гранта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заявка), включающую следующие документы: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на получение гранта по форме, утвержденной Министерством;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полномочия руководителя лауреата пр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справку, подписанную руководителем и главным бухгалтером лауреата пр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мии (при наличии главного бухгалтера), скрепленную печатью лауреата премии, с указанием реквизитов расчетного или корреспондентского счета, открытого в учр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ждениях Центрального банка Российской Федерации или кредитных организациях, для перечисления гранта (в свободной форме);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, подписанн</w:t>
      </w:r>
      <w:r>
        <w:rPr>
          <w:rFonts w:ascii="Times New Roman" w:hAnsi="Times New Roman" w:cs="Times New Roman"/>
          <w:sz w:val="28"/>
          <w:szCs w:val="28"/>
        </w:rPr>
        <w:t xml:space="preserve">ую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 лауреата премии, о соответствии треб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ваниям, установленным пунктом 6 настоящего Порядка.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представляются лауреатом премии на бумажном носителе.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документы должны быть четко напечата</w:t>
      </w:r>
      <w:r>
        <w:rPr>
          <w:rFonts w:ascii="Times New Roman" w:hAnsi="Times New Roman" w:cs="Times New Roman"/>
          <w:sz w:val="28"/>
          <w:szCs w:val="28"/>
        </w:rPr>
        <w:t xml:space="preserve">ны. Подчистки и исправления не допускаются, за исключением исправлений, скрепленных печатью и заверенных подписью руководителя лауреата премии или уполномоченного им лица. Все листы заявки должны быть прошиты, пронумерованы, заверены подписью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лауреата премии или уполномоченного им лица.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недостоверность предъявляемых сведений лауреат премии несет отве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ственность согласно законодательству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Лауреат премии вправе по собственному усмотрению представить в Мин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стерство следующие документы: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свидетельства о государственной регистрации юридического лица либо копию листа записи Единого государственного реестра юридических лиц;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>
        <w:rPr>
          <w:rFonts w:ascii="Times New Roman" w:hAnsi="Times New Roman" w:cs="Times New Roman"/>
          <w:sz w:val="28"/>
          <w:szCs w:val="28"/>
        </w:rPr>
        <w:t xml:space="preserve">документа</w:t>
      </w:r>
      <w:r>
        <w:rPr>
          <w:rFonts w:ascii="Times New Roman" w:hAnsi="Times New Roman" w:cs="Times New Roman"/>
          <w:sz w:val="28"/>
          <w:szCs w:val="28"/>
        </w:rPr>
        <w:t xml:space="preserve"> о постановке на учет в налоговом органе;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справку об исполнении обязанности по уплате налогов, сборов, страховых взносов, пеней, штрафов, процентов по состоянию на дату формирования справки на основании данных налогового органа в электронной форме по телекоммуникац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онным каналам связи или через личный кабинет налогоплательщика либо на б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мажном носителе по форме, утвержденной приказом Федеральной налоговой слу</w:t>
      </w:r>
      <w:r>
        <w:rPr>
          <w:rFonts w:ascii="Times New Roman" w:hAnsi="Times New Roman" w:cs="Times New Roman"/>
          <w:sz w:val="28"/>
          <w:szCs w:val="28"/>
        </w:rPr>
        <w:t xml:space="preserve">ж</w:t>
      </w:r>
      <w:r>
        <w:rPr>
          <w:rFonts w:ascii="Times New Roman" w:hAnsi="Times New Roman" w:cs="Times New Roman"/>
          <w:sz w:val="28"/>
          <w:szCs w:val="28"/>
        </w:rPr>
        <w:t xml:space="preserve">бы от 23 ноября 2022 г.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ЕД-7-8/1123@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формы справки об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полнении</w:t>
      </w:r>
      <w:r>
        <w:rPr>
          <w:rFonts w:ascii="Times New Roman" w:hAnsi="Times New Roman" w:cs="Times New Roman"/>
          <w:sz w:val="28"/>
          <w:szCs w:val="28"/>
        </w:rPr>
        <w:t xml:space="preserve">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и формата ее пр</w:t>
      </w:r>
      <w:r>
        <w:rPr>
          <w:rFonts w:ascii="Times New Roman" w:hAnsi="Times New Roman" w:cs="Times New Roman"/>
          <w:sz w:val="28"/>
          <w:szCs w:val="28"/>
        </w:rPr>
        <w:t xml:space="preserve">едставления в электронной форме»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юридических лиц.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непредставления лауреатом премии документов, указанных в наст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ящем пункте, Министерство запрашивает их в порядке межведомственного инфо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мационного взаимодействия.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Заявка регистрируется Министерством в день ее поступления в журнале 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гистрации заявок.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Министерство в 10-дневный срок, исчисляемый в рабочих днях, со дня 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гистрации заявки проверяет лауреата премии и представленные им документы на предмет их соответствия требованиям, установленным пунктами 6 и 7 настоящего Порядка, и принимает решение о предоставлении гранта или об отказе в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лении гранта.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уведомляет лауреата премии о принятом решении в двухдне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ный срок, исчисляемый в рабочих днях, со дня его принятия посредством электро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почты или других контактных реквизитов, указанных в заявке.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Основаниями для отказа лауреату премии в предоставлении гранта явл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ются: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лауреатом премии документов требованиям, определенным пунктом 7 настоящего Порядка, или непредставление (представление не в полном объеме) указанных документов;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 представленной лауреатом премии и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формации.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Грант предоставляется на основании соглашения между Министерством и лауреатом премии в соответствии с типовой формой, установленной Министерством финансов Республики Татарстан. Соглашение заключается в двухдневный срок,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числяемый в рабочих днях, со дня принятия решения о предоставлении гранта.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соглашении предусматриваются: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гранта, его целевое назначение;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перечисления гранта;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точная дата завершения и конечное значение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гра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та</w:t>
      </w:r>
      <w:r>
        <w:rPr>
          <w:rFonts w:ascii="Times New Roman" w:hAnsi="Times New Roman" w:cs="Times New Roman"/>
          <w:sz w:val="28"/>
          <w:szCs w:val="28"/>
        </w:rPr>
        <w:t xml:space="preserve"> (конкретная количественная характеристика итогов);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и порядок заключения дополнительного соглашения к соглашению, в том числе дополнительного соглашения о расторжении соглашения, по формам, прилагаемым к типовым формам соглашений, установленным Министерством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нансов Республики Татарстан;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 о возможности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расходов, источником финансового обеспечения которых являются не использованные в отчетном финансовом году остатки гранта при принятии Министерством решения о наличии потребности в указанных сре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ствах или возврате указанных средств в доход бюджета Республики Татарстан при отсутствии в них потребности в порядке и сроки, установленные пунктом 20 наст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ящего Порядка;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</w:t>
      </w:r>
      <w:r>
        <w:rPr>
          <w:rFonts w:ascii="Times New Roman" w:hAnsi="Times New Roman" w:cs="Times New Roman"/>
          <w:sz w:val="28"/>
          <w:szCs w:val="28"/>
        </w:rPr>
        <w:t xml:space="preserve">лауреата премии</w:t>
      </w:r>
      <w:r>
        <w:rPr>
          <w:rFonts w:ascii="Times New Roman" w:hAnsi="Times New Roman" w:cs="Times New Roman"/>
          <w:sz w:val="28"/>
          <w:szCs w:val="28"/>
        </w:rPr>
        <w:t xml:space="preserve">, лиц, получающих средства на основании догов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ров, заключенных с </w:t>
      </w:r>
      <w:r>
        <w:rPr>
          <w:rFonts w:ascii="Times New Roman" w:hAnsi="Times New Roman" w:cs="Times New Roman"/>
          <w:sz w:val="28"/>
          <w:szCs w:val="28"/>
        </w:rPr>
        <w:t xml:space="preserve">лауреат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премии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(муниц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пальных) унитарных предприятий, хозяйственных товариществ и обществ с участ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публично-правовых образований в их уставных (складочных) капиталах, ко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мерческих организаций с участием таких товариществ и обществ в их уставных (складочных) капиталах), на осуществление в отношении их проверки Министе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ством соблюдения порядка и условий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гранта</w:t>
      </w:r>
      <w:r>
        <w:rPr>
          <w:rFonts w:ascii="Times New Roman" w:hAnsi="Times New Roman" w:cs="Times New Roman"/>
          <w:sz w:val="28"/>
          <w:szCs w:val="28"/>
        </w:rPr>
        <w:t xml:space="preserve">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числе в части достижения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гранта</w:t>
      </w:r>
      <w:r>
        <w:rPr>
          <w:rFonts w:ascii="Times New Roman" w:hAnsi="Times New Roman" w:cs="Times New Roman"/>
          <w:sz w:val="28"/>
          <w:szCs w:val="28"/>
        </w:rPr>
        <w:t xml:space="preserve">, а также проверки органами госуда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ственного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статьями 268¹ и 269²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 о согласовании новых условий соглашения или о расторжении согл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шения при </w:t>
      </w:r>
      <w:r>
        <w:rPr>
          <w:rFonts w:ascii="Times New Roman" w:hAnsi="Times New Roman" w:cs="Times New Roman"/>
          <w:sz w:val="28"/>
          <w:szCs w:val="28"/>
        </w:rPr>
        <w:t xml:space="preserve">недостижении</w:t>
      </w:r>
      <w:r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Мин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стерству ранее доведенных лимитов бюджетных обязательств, указанных в пункте 3 настоящего Порядка, приводящего к невозможности предоставления гранта в ра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мере, определенном в соглашении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Министерство заключает с лауреатами премии дополн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тельное соглашение к соглашению, в том числе дополнительное соглашение о ра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торжении соглашения, в соответствии с типовыми формами, установленными М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нистерством финансов Республики Татарстан.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лауреата премии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лауреата премии</w:t>
      </w:r>
      <w:r>
        <w:rPr>
          <w:rFonts w:ascii="Times New Roman" w:hAnsi="Times New Roman" w:cs="Times New Roman"/>
          <w:sz w:val="28"/>
          <w:szCs w:val="28"/>
        </w:rPr>
        <w:t xml:space="preserve"> в форме разделения, выделения, а также при ликвидации </w:t>
      </w:r>
      <w:r>
        <w:rPr>
          <w:rFonts w:ascii="Times New Roman" w:hAnsi="Times New Roman" w:cs="Times New Roman"/>
          <w:sz w:val="28"/>
          <w:szCs w:val="28"/>
        </w:rPr>
        <w:t xml:space="preserve">лауреата премии</w:t>
      </w:r>
      <w:r>
        <w:rPr>
          <w:rFonts w:ascii="Times New Roman" w:hAnsi="Times New Roman" w:cs="Times New Roman"/>
          <w:sz w:val="28"/>
          <w:szCs w:val="28"/>
        </w:rPr>
        <w:t xml:space="preserve"> соглашение расторгается с формированием уведомления о расторжении соглашения в одностороннем порядке и акта </w:t>
      </w:r>
      <w:r>
        <w:rPr>
          <w:rFonts w:ascii="Times New Roman" w:hAnsi="Times New Roman" w:cs="Times New Roman"/>
          <w:sz w:val="28"/>
          <w:szCs w:val="28"/>
        </w:rPr>
        <w:t xml:space="preserve">об исполнении обязательств по соглашению с отражением информации о неисполненных </w:t>
      </w:r>
      <w:r>
        <w:rPr>
          <w:rFonts w:ascii="Times New Roman" w:hAnsi="Times New Roman" w:cs="Times New Roman"/>
          <w:sz w:val="28"/>
          <w:szCs w:val="28"/>
        </w:rPr>
        <w:t xml:space="preserve">лауреатом премии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обязательствах, источником финансового обеспечения которых является грант, и возврате неиспользованного остатка гранта в бюджет Республики Татарстан.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Лауреат премии признается уклонившимся от заключения соглашения в случае, если в сроки, указанные в абзаце первом пункта 12 настоящего Порядка, не обеспечил подписание соглашения лицом, имеющим право действовать от имени лауреата премии.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Лауреату премии, а также иным юридическим лицам, получающим сре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ства на основании договоров, заключенных с лауреатом премии, запрещается 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обретать за счет полученных из бюджета Республики Татарстан средств иностра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ную валюту, за исключением операций, осуществляемых в соответствии с валю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ным законодательством Российской Федерации при закупке (поставке) высокоте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нологичного импортного оборудования, сырья и комплектующих изделий.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>
        <w:rPr>
          <w:rFonts w:ascii="Times New Roman" w:hAnsi="Times New Roman" w:cs="Times New Roman"/>
          <w:sz w:val="28"/>
          <w:szCs w:val="28"/>
        </w:rPr>
        <w:t xml:space="preserve">Лауреат премии</w:t>
      </w:r>
      <w:r>
        <w:rPr>
          <w:rFonts w:ascii="Times New Roman" w:hAnsi="Times New Roman" w:cs="Times New Roman"/>
          <w:sz w:val="28"/>
          <w:szCs w:val="28"/>
        </w:rPr>
        <w:t xml:space="preserve">, лица, получающие средства на основании договоров,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ключенных с 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ауреат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премии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(муниципал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ных) унитарных предприятий, хозяйственных товариществ и обществ с участием публично-правовых образований в их уставных (складочных) капиталах, коммерч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ских организаций с участием таких товариществ и обществ в их уставных (складо</w:t>
      </w:r>
      <w:r>
        <w:rPr>
          <w:rFonts w:ascii="Times New Roman" w:hAnsi="Times New Roman" w:cs="Times New Roman"/>
          <w:sz w:val="28"/>
          <w:szCs w:val="28"/>
        </w:rPr>
        <w:t xml:space="preserve">ч</w:t>
      </w:r>
      <w:r>
        <w:rPr>
          <w:rFonts w:ascii="Times New Roman" w:hAnsi="Times New Roman" w:cs="Times New Roman"/>
          <w:sz w:val="28"/>
          <w:szCs w:val="28"/>
        </w:rPr>
        <w:t xml:space="preserve">ных) капиталах), дают согласие на осуществление в отношении их проверки Мин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стерством соблюдения порядка и условий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гранта</w:t>
      </w:r>
      <w:r>
        <w:rPr>
          <w:rFonts w:ascii="Times New Roman" w:hAnsi="Times New Roman" w:cs="Times New Roman"/>
          <w:sz w:val="28"/>
          <w:szCs w:val="28"/>
        </w:rPr>
        <w:t xml:space="preserve">, в</w:t>
      </w:r>
      <w:r>
        <w:rPr>
          <w:rFonts w:ascii="Times New Roman" w:hAnsi="Times New Roman" w:cs="Times New Roman"/>
          <w:sz w:val="28"/>
          <w:szCs w:val="28"/>
        </w:rPr>
        <w:t xml:space="preserve"> том числе в ч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сти достижения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гранта</w:t>
      </w:r>
      <w:r>
        <w:rPr>
          <w:rFonts w:ascii="Times New Roman" w:hAnsi="Times New Roman" w:cs="Times New Roman"/>
          <w:sz w:val="28"/>
          <w:szCs w:val="28"/>
        </w:rPr>
        <w:t xml:space="preserve">, а также проверки органами гос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дарственного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статьями 268¹ и 269² Бюджетного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Министерство перечисляет грант на расчетные или корреспондентские счета, открытые лауреатом премии в учреждениях Центрального банка Российской Федерации или кредитных организациях, не позднее 10 рабочих дней со дня прин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тия решения о предоставлении гранта.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Результатом предоставления гранта является проведение не менее одного мероприятия не позднее 1 ноября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18. Лауреат премии представляет в Министерство отчет о достижении знач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результата предоставления гранта и отчет об осуществлении расходов, источн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ком финансового обеспечения которых является грант, ежеквартально по формам, прилагаемым к типовым формам соглашений, установленным Министерством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нансов Республики Татарстан, до 5 числа месяца, следующего за отчетным кварт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лом.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Министерство осуществляет проверку </w:t>
      </w:r>
      <w:r>
        <w:rPr>
          <w:rFonts w:ascii="Times New Roman" w:hAnsi="Times New Roman" w:cs="Times New Roman"/>
          <w:sz w:val="28"/>
          <w:szCs w:val="28"/>
        </w:rPr>
        <w:t xml:space="preserve">отчетов, указанных в абзаце первом настоящего пункта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 срок, не превышающий 10 рабочих дней со дня представления указанн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Предоставленный грант подлежит возврату в доход бюджета Республики Татарстан в 60-дневный срок, исчисляемый в рабочих днях, со дня получения соо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ветствующего требования Министерства в полном объеме в случаях выявления фа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та недостоверности представленной лауреатом премии информации, нарушения условий, установленных при предоставлении гранта, </w:t>
      </w:r>
      <w:r>
        <w:rPr>
          <w:rFonts w:ascii="Times New Roman" w:hAnsi="Times New Roman" w:cs="Times New Roman"/>
          <w:sz w:val="28"/>
          <w:szCs w:val="28"/>
        </w:rPr>
        <w:t xml:space="preserve">выявленного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Министерством и органами государственного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нансового контроля, а также в случае </w:t>
      </w:r>
      <w:r>
        <w:rPr>
          <w:rFonts w:ascii="Times New Roman" w:hAnsi="Times New Roman" w:cs="Times New Roman"/>
          <w:sz w:val="28"/>
          <w:szCs w:val="28"/>
        </w:rPr>
        <w:t xml:space="preserve">недостижения</w:t>
      </w:r>
      <w:r>
        <w:rPr>
          <w:rFonts w:ascii="Times New Roman" w:hAnsi="Times New Roman" w:cs="Times New Roman"/>
          <w:sz w:val="28"/>
          <w:szCs w:val="28"/>
        </w:rPr>
        <w:t xml:space="preserve"> значения результата, указанн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в пункте 17 настоящего Порядка.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>
        <w:rPr>
          <w:rFonts w:ascii="Times New Roman" w:hAnsi="Times New Roman" w:cs="Times New Roman"/>
          <w:sz w:val="28"/>
          <w:szCs w:val="28"/>
        </w:rPr>
        <w:t xml:space="preserve">Остатки средств, источником финансового обеспечения которых является грант, не использованные в отчетном финансовом году, подлежат возврату в доход бюджета Республики Татарстан не позднее 1 февраля года, следующего за отче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ным, за исключением случаев принятия 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решения о наличии потребности в ук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занных средствах.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потребности направления средств, не использованных в отчетном финансовом году, на цель, указанную в пункте 1 настоящего Порядка, лауреат пр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мии представляет в Министерство не позднее 15 января года, следующего за отче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ным, информацию с обоснованием такой потребности.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не позднее 10 календарных дней со дня получения от лауреата премии информации, указанной в абзаце втором настоящего пункта,</w:t>
      </w:r>
      <w:r>
        <w:rPr>
          <w:rFonts w:ascii="Times New Roman" w:hAnsi="Times New Roman" w:cs="Times New Roman"/>
          <w:sz w:val="28"/>
          <w:szCs w:val="28"/>
        </w:rPr>
        <w:t xml:space="preserve"> принимает решение о нал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чии или об отсутствии потребности в направлении в текущем финансовом году остатка гранта, не использованного в отчетном финансовом году.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Министерством решения о наличии потребности в напра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лении в текущем финансовом году остатка гранта, не использованного в отчетном финансовом году, между Министерством и лауреатом премии заключается допо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нительное соглашение к соглашению в трехдневный срок, исчисляемый в рабочих днях, со дня принятия такого решения.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При нарушении лауреатом премии сроков возврата гранта, указанных в пунктах 19 и 20 настоящего Порядка, Министерство в семидневный срок, исчисля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мый в рабочих днях, со дня истечения срока возврата гранта принимает меры по взысканию указанных сре</w:t>
      </w:r>
      <w:r>
        <w:rPr>
          <w:rFonts w:ascii="Times New Roman" w:hAnsi="Times New Roman" w:cs="Times New Roman"/>
          <w:sz w:val="28"/>
          <w:szCs w:val="28"/>
        </w:rPr>
        <w:t xml:space="preserve">дств в б</w:t>
      </w:r>
      <w:r>
        <w:rPr>
          <w:rFonts w:ascii="Times New Roman" w:hAnsi="Times New Roman" w:cs="Times New Roman"/>
          <w:sz w:val="28"/>
          <w:szCs w:val="28"/>
        </w:rPr>
        <w:t xml:space="preserve">юджет Республики Татарстан в порядке, устано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ленном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осуществляет проверку соблюдения 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ауреат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премии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рядка и условий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гранта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части достижения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гранта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государственного финансового контроля осущест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ляют проверку в соответствии со статьями 268¹ и 269² Бюджетного кодекса Росси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Мо</w:t>
      </w:r>
      <w:r>
        <w:rPr>
          <w:rFonts w:ascii="Times New Roman" w:hAnsi="Times New Roman" w:cs="Times New Roman"/>
          <w:sz w:val="28"/>
          <w:szCs w:val="28"/>
        </w:rPr>
        <w:t xml:space="preserve">ниторинг достижения значения результата предоставления гранта, определенного соглашением, и событий, отражающих факт завершения соответствующего мероприятия по получению результата предоставления гранта (контрольная точка), осуществляется 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в порядке и по формам, которые установлены порядком проведения мониторинга достижения результатов, утвержденным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>
        <w:rPr>
          <w:rFonts w:ascii="Times New Roman" w:hAnsi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эффективным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 осущест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ляется Министерством.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5" w:h="16838" w:orient="portrait"/>
      <w:pgMar w:top="1134" w:right="567" w:bottom="1134" w:left="1134" w:header="709" w:footer="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36007520"/>
      <w:docPartObj>
        <w:docPartGallery w:val="Page Numbers (Top of Page)"/>
        <w:docPartUnique w:val="true"/>
      </w:docPartObj>
      <w:rPr/>
    </w:sdtPr>
    <w:sdtContent>
      <w:p>
        <w:pPr>
          <w:pStyle w:val="71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r/>
    <w:r/>
  </w:p>
  <w:p>
    <w:pPr>
      <w:pStyle w:val="7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2513" w:hanging="1095"/>
      </w:pPr>
      <w:rPr>
        <w:rFonts w:hint="default" w:ascii="Times New Roman" w:hAnsi="Times New Roman" w:eastAsia="Times New Roman" w:cs="Times New Roman"/>
        <w:color w:val="auto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7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2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9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6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3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832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>
      <w:start w:val="1"/>
      <w:numFmt w:val="decimal"/>
      <w:isLgl/>
      <w:suff w:val="tab"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241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346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452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5236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1"/>
        <w:szCs w:val="21"/>
        <w:lang w:val="ru-RU" w:eastAsia="en-US" w:bidi="ar-SA"/>
      </w:rPr>
    </w:rPrDefault>
    <w:pPrDefault>
      <w:pPr>
        <w:spacing w:before="0" w:beforeAutospacing="0" w:after="16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9"/>
    <w:link w:val="7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9"/>
    <w:link w:val="70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9"/>
    <w:link w:val="7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9"/>
    <w:link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9"/>
    <w:link w:val="70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9"/>
    <w:link w:val="70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9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9"/>
    <w:link w:val="70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9"/>
    <w:link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9"/>
    <w:link w:val="720"/>
    <w:uiPriority w:val="10"/>
    <w:rPr>
      <w:sz w:val="48"/>
      <w:szCs w:val="48"/>
    </w:rPr>
  </w:style>
  <w:style w:type="character" w:styleId="37">
    <w:name w:val="Subtitle Char"/>
    <w:basedOn w:val="709"/>
    <w:link w:val="731"/>
    <w:uiPriority w:val="11"/>
    <w:rPr>
      <w:sz w:val="24"/>
      <w:szCs w:val="24"/>
    </w:rPr>
  </w:style>
  <w:style w:type="character" w:styleId="39">
    <w:name w:val="Quote Char"/>
    <w:link w:val="736"/>
    <w:uiPriority w:val="29"/>
    <w:rPr>
      <w:i/>
    </w:rPr>
  </w:style>
  <w:style w:type="character" w:styleId="41">
    <w:name w:val="Intense Quote Char"/>
    <w:link w:val="738"/>
    <w:uiPriority w:val="30"/>
    <w:rPr>
      <w:i/>
    </w:rPr>
  </w:style>
  <w:style w:type="character" w:styleId="43">
    <w:name w:val="Header Char"/>
    <w:basedOn w:val="709"/>
    <w:link w:val="718"/>
    <w:uiPriority w:val="99"/>
  </w:style>
  <w:style w:type="character" w:styleId="45">
    <w:name w:val="Footer Char"/>
    <w:basedOn w:val="709"/>
    <w:link w:val="749"/>
    <w:uiPriority w:val="99"/>
  </w:style>
  <w:style w:type="character" w:styleId="47">
    <w:name w:val="Caption Char"/>
    <w:basedOn w:val="730"/>
    <w:link w:val="749"/>
    <w:uiPriority w:val="99"/>
  </w:style>
  <w:style w:type="table" w:styleId="49">
    <w:name w:val="Table Grid Light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9"/>
    <w:uiPriority w:val="99"/>
    <w:unhideWhenUsed/>
    <w:rPr>
      <w:vertAlign w:val="superscript"/>
    </w:rPr>
  </w:style>
  <w:style w:type="paragraph" w:styleId="178">
    <w:name w:val="endnote text"/>
    <w:basedOn w:val="6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9"/>
    <w:uiPriority w:val="99"/>
    <w:semiHidden/>
    <w:unhideWhenUsed/>
    <w:rPr>
      <w:vertAlign w:val="superscript"/>
    </w:rPr>
  </w:style>
  <w:style w:type="paragraph" w:styleId="181">
    <w:name w:val="toc 1"/>
    <w:basedOn w:val="699"/>
    <w:next w:val="6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9"/>
    <w:next w:val="6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9"/>
    <w:next w:val="6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9"/>
    <w:next w:val="6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9"/>
    <w:next w:val="6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9"/>
    <w:next w:val="6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9"/>
    <w:next w:val="6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9"/>
    <w:next w:val="6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9"/>
    <w:next w:val="699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699"/>
    <w:next w:val="699"/>
    <w:uiPriority w:val="99"/>
    <w:unhideWhenUsed/>
    <w:pPr>
      <w:spacing w:after="0" w:afterAutospacing="0"/>
    </w:pPr>
  </w:style>
  <w:style w:type="paragraph" w:styleId="699" w:default="1">
    <w:name w:val="Normal"/>
    <w:qFormat/>
  </w:style>
  <w:style w:type="paragraph" w:styleId="700">
    <w:name w:val="Heading 1"/>
    <w:basedOn w:val="699"/>
    <w:next w:val="699"/>
    <w:link w:val="722"/>
    <w:uiPriority w:val="9"/>
    <w:qFormat/>
    <w:pPr>
      <w:keepLines/>
      <w:keepNext/>
      <w:spacing w:before="360" w:after="120" w:line="240" w:lineRule="auto"/>
      <w:pBdr>
        <w:bottom w:val="single" w:color="ED7D31" w:themeColor="accent2" w:sz="4" w:space="2"/>
      </w:pBdr>
      <w:outlineLvl w:val="0"/>
    </w:pPr>
    <w:rPr>
      <w:rFonts w:asciiTheme="majorHAnsi" w:hAnsiTheme="majorHAnsi" w:eastAsiaTheme="majorEastAsia" w:cstheme="majorBidi"/>
      <w:color w:val="262626" w:themeColor="text1" w:themeTint="D9"/>
      <w:sz w:val="40"/>
      <w:szCs w:val="40"/>
    </w:rPr>
  </w:style>
  <w:style w:type="paragraph" w:styleId="701">
    <w:name w:val="Heading 2"/>
    <w:basedOn w:val="699"/>
    <w:next w:val="699"/>
    <w:link w:val="723"/>
    <w:uiPriority w:val="9"/>
    <w:semiHidden/>
    <w:unhideWhenUsed/>
    <w:qFormat/>
    <w:pPr>
      <w:keepLines/>
      <w:keepNext/>
      <w:spacing w:before="120" w:after="0" w:line="240" w:lineRule="auto"/>
      <w:outlineLvl w:val="1"/>
    </w:pPr>
    <w:rPr>
      <w:rFonts w:asciiTheme="majorHAnsi" w:hAnsiTheme="majorHAnsi" w:eastAsiaTheme="majorEastAsia" w:cstheme="majorBidi"/>
      <w:color w:val="ed7d31" w:themeColor="accent2"/>
      <w:sz w:val="36"/>
      <w:szCs w:val="36"/>
    </w:rPr>
  </w:style>
  <w:style w:type="paragraph" w:styleId="702">
    <w:name w:val="Heading 3"/>
    <w:basedOn w:val="699"/>
    <w:next w:val="699"/>
    <w:link w:val="716"/>
    <w:uiPriority w:val="9"/>
    <w:unhideWhenUsed/>
    <w:qFormat/>
    <w:pPr>
      <w:keepLines/>
      <w:keepNext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c45911" w:themeColor="accent2" w:themeShade="BF"/>
      <w:sz w:val="32"/>
      <w:szCs w:val="32"/>
    </w:rPr>
  </w:style>
  <w:style w:type="paragraph" w:styleId="703">
    <w:name w:val="Heading 4"/>
    <w:basedOn w:val="699"/>
    <w:next w:val="699"/>
    <w:link w:val="724"/>
    <w:uiPriority w:val="9"/>
    <w:semiHidden/>
    <w:unhideWhenUsed/>
    <w:qFormat/>
    <w:pPr>
      <w:keepLines/>
      <w:keepNext/>
      <w:spacing w:before="80" w:after="0" w:line="240" w:lineRule="auto"/>
      <w:outlineLvl w:val="3"/>
    </w:pPr>
    <w:rPr>
      <w:rFonts w:asciiTheme="majorHAnsi" w:hAnsiTheme="majorHAnsi" w:eastAsiaTheme="majorEastAsia" w:cstheme="majorBidi"/>
      <w:i/>
      <w:iCs/>
      <w:color w:val="833c0b" w:themeColor="accent2" w:themeShade="80"/>
      <w:sz w:val="28"/>
      <w:szCs w:val="28"/>
    </w:rPr>
  </w:style>
  <w:style w:type="paragraph" w:styleId="704">
    <w:name w:val="Heading 5"/>
    <w:basedOn w:val="699"/>
    <w:next w:val="699"/>
    <w:link w:val="725"/>
    <w:uiPriority w:val="9"/>
    <w:semiHidden/>
    <w:unhideWhenUsed/>
    <w:qFormat/>
    <w:pPr>
      <w:keepLines/>
      <w:keepNext/>
      <w:spacing w:before="80" w:after="0" w:line="240" w:lineRule="auto"/>
      <w:outlineLvl w:val="4"/>
    </w:pPr>
    <w:rPr>
      <w:rFonts w:asciiTheme="majorHAnsi" w:hAnsiTheme="majorHAnsi" w:eastAsiaTheme="majorEastAsia" w:cstheme="majorBidi"/>
      <w:color w:val="c45911" w:themeColor="accent2" w:themeShade="BF"/>
      <w:sz w:val="24"/>
      <w:szCs w:val="24"/>
    </w:rPr>
  </w:style>
  <w:style w:type="paragraph" w:styleId="705">
    <w:name w:val="Heading 6"/>
    <w:basedOn w:val="699"/>
    <w:next w:val="699"/>
    <w:link w:val="726"/>
    <w:uiPriority w:val="9"/>
    <w:semiHidden/>
    <w:unhideWhenUsed/>
    <w:qFormat/>
    <w:pPr>
      <w:keepLines/>
      <w:keepNext/>
      <w:spacing w:before="80" w:after="0" w:line="240" w:lineRule="auto"/>
      <w:outlineLvl w:val="5"/>
    </w:pPr>
    <w:rPr>
      <w:rFonts w:asciiTheme="majorHAnsi" w:hAnsiTheme="majorHAnsi" w:eastAsiaTheme="majorEastAsia" w:cstheme="majorBidi"/>
      <w:i/>
      <w:iCs/>
      <w:color w:val="833c0b" w:themeColor="accent2" w:themeShade="80"/>
      <w:sz w:val="24"/>
      <w:szCs w:val="24"/>
    </w:rPr>
  </w:style>
  <w:style w:type="paragraph" w:styleId="706">
    <w:name w:val="Heading 7"/>
    <w:basedOn w:val="699"/>
    <w:next w:val="699"/>
    <w:link w:val="727"/>
    <w:uiPriority w:val="9"/>
    <w:semiHidden/>
    <w:unhideWhenUsed/>
    <w:qFormat/>
    <w:pPr>
      <w:keepLines/>
      <w:keepNext/>
      <w:spacing w:before="80" w:after="0" w:line="240" w:lineRule="auto"/>
      <w:outlineLvl w:val="6"/>
    </w:pPr>
    <w:rPr>
      <w:rFonts w:asciiTheme="majorHAnsi" w:hAnsiTheme="majorHAnsi" w:eastAsiaTheme="majorEastAsia" w:cstheme="majorBidi"/>
      <w:b/>
      <w:bCs/>
      <w:color w:val="833c0b" w:themeColor="accent2" w:themeShade="80"/>
      <w:sz w:val="22"/>
      <w:szCs w:val="22"/>
    </w:rPr>
  </w:style>
  <w:style w:type="paragraph" w:styleId="707">
    <w:name w:val="Heading 8"/>
    <w:basedOn w:val="699"/>
    <w:next w:val="699"/>
    <w:link w:val="728"/>
    <w:uiPriority w:val="9"/>
    <w:semiHidden/>
    <w:unhideWhenUsed/>
    <w:qFormat/>
    <w:pPr>
      <w:keepLines/>
      <w:keepNext/>
      <w:spacing w:before="80" w:after="0" w:line="240" w:lineRule="auto"/>
      <w:outlineLvl w:val="7"/>
    </w:pPr>
    <w:rPr>
      <w:rFonts w:asciiTheme="majorHAnsi" w:hAnsiTheme="majorHAnsi" w:eastAsiaTheme="majorEastAsia" w:cstheme="majorBidi"/>
      <w:color w:val="833c0b" w:themeColor="accent2" w:themeShade="80"/>
      <w:sz w:val="22"/>
      <w:szCs w:val="22"/>
    </w:rPr>
  </w:style>
  <w:style w:type="paragraph" w:styleId="708">
    <w:name w:val="Heading 9"/>
    <w:basedOn w:val="699"/>
    <w:next w:val="699"/>
    <w:link w:val="729"/>
    <w:uiPriority w:val="9"/>
    <w:semiHidden/>
    <w:unhideWhenUsed/>
    <w:qFormat/>
    <w:pPr>
      <w:keepLines/>
      <w:keepNext/>
      <w:spacing w:before="80" w:after="0" w:line="240" w:lineRule="auto"/>
      <w:outlineLvl w:val="8"/>
    </w:pPr>
    <w:rPr>
      <w:rFonts w:asciiTheme="majorHAnsi" w:hAnsiTheme="majorHAnsi" w:eastAsiaTheme="majorEastAsia" w:cstheme="majorBidi"/>
      <w:i/>
      <w:iCs/>
      <w:color w:val="833c0b" w:themeColor="accent2" w:themeShade="80"/>
      <w:sz w:val="22"/>
      <w:szCs w:val="22"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paragraph" w:styleId="71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713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14" w:customStyle="1">
    <w:name w:val="ConsPlusTitle"/>
    <w:uiPriority w:val="99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715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character" w:styleId="716" w:customStyle="1">
    <w:name w:val="Заголовок 3 Знак"/>
    <w:basedOn w:val="709"/>
    <w:link w:val="702"/>
    <w:uiPriority w:val="9"/>
    <w:rPr>
      <w:rFonts w:asciiTheme="majorHAnsi" w:hAnsiTheme="majorHAnsi" w:eastAsiaTheme="majorEastAsia" w:cstheme="majorBidi"/>
      <w:color w:val="c45911" w:themeColor="accent2" w:themeShade="BF"/>
      <w:sz w:val="32"/>
      <w:szCs w:val="32"/>
    </w:rPr>
  </w:style>
  <w:style w:type="paragraph" w:styleId="717" w:customStyle="1">
    <w:name w:val="ConsTitle"/>
    <w:pPr>
      <w:ind w:right="19772"/>
      <w:spacing w:after="0" w:line="240" w:lineRule="auto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718">
    <w:name w:val="Header"/>
    <w:basedOn w:val="699"/>
    <w:link w:val="719"/>
    <w:uiPriority w:val="99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19" w:customStyle="1">
    <w:name w:val="Верхний колонтитул Знак"/>
    <w:basedOn w:val="709"/>
    <w:link w:val="71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20">
    <w:name w:val="Title"/>
    <w:basedOn w:val="699"/>
    <w:next w:val="699"/>
    <w:link w:val="721"/>
    <w:uiPriority w:val="10"/>
    <w:qFormat/>
    <w:pPr>
      <w:contextualSpacing/>
      <w:spacing w:after="0" w:line="240" w:lineRule="auto"/>
    </w:pPr>
    <w:rPr>
      <w:rFonts w:asciiTheme="majorHAnsi" w:hAnsiTheme="majorHAnsi" w:eastAsiaTheme="majorEastAsia" w:cstheme="majorBidi"/>
      <w:color w:val="262626" w:themeColor="text1" w:themeTint="D9"/>
      <w:sz w:val="96"/>
      <w:szCs w:val="96"/>
    </w:rPr>
  </w:style>
  <w:style w:type="character" w:styleId="721" w:customStyle="1">
    <w:name w:val="Название Знак"/>
    <w:basedOn w:val="709"/>
    <w:link w:val="720"/>
    <w:uiPriority w:val="10"/>
    <w:rPr>
      <w:rFonts w:asciiTheme="majorHAnsi" w:hAnsiTheme="majorHAnsi" w:eastAsiaTheme="majorEastAsia" w:cstheme="majorBidi"/>
      <w:color w:val="262626" w:themeColor="text1" w:themeTint="D9"/>
      <w:sz w:val="96"/>
      <w:szCs w:val="96"/>
    </w:rPr>
  </w:style>
  <w:style w:type="character" w:styleId="722" w:customStyle="1">
    <w:name w:val="Заголовок 1 Знак"/>
    <w:basedOn w:val="709"/>
    <w:link w:val="700"/>
    <w:uiPriority w:val="9"/>
    <w:rPr>
      <w:rFonts w:asciiTheme="majorHAnsi" w:hAnsiTheme="majorHAnsi" w:eastAsiaTheme="majorEastAsia" w:cstheme="majorBidi"/>
      <w:color w:val="262626" w:themeColor="text1" w:themeTint="D9"/>
      <w:sz w:val="40"/>
      <w:szCs w:val="40"/>
    </w:rPr>
  </w:style>
  <w:style w:type="character" w:styleId="723" w:customStyle="1">
    <w:name w:val="Заголовок 2 Знак"/>
    <w:basedOn w:val="709"/>
    <w:link w:val="701"/>
    <w:uiPriority w:val="9"/>
    <w:semiHidden/>
    <w:rPr>
      <w:rFonts w:asciiTheme="majorHAnsi" w:hAnsiTheme="majorHAnsi" w:eastAsiaTheme="majorEastAsia" w:cstheme="majorBidi"/>
      <w:color w:val="ed7d31" w:themeColor="accent2"/>
      <w:sz w:val="36"/>
      <w:szCs w:val="36"/>
    </w:rPr>
  </w:style>
  <w:style w:type="character" w:styleId="724" w:customStyle="1">
    <w:name w:val="Заголовок 4 Знак"/>
    <w:basedOn w:val="709"/>
    <w:link w:val="703"/>
    <w:uiPriority w:val="9"/>
    <w:semiHidden/>
    <w:rPr>
      <w:rFonts w:asciiTheme="majorHAnsi" w:hAnsiTheme="majorHAnsi" w:eastAsiaTheme="majorEastAsia" w:cstheme="majorBidi"/>
      <w:i/>
      <w:iCs/>
      <w:color w:val="833c0b" w:themeColor="accent2" w:themeShade="80"/>
      <w:sz w:val="28"/>
      <w:szCs w:val="28"/>
    </w:rPr>
  </w:style>
  <w:style w:type="character" w:styleId="725" w:customStyle="1">
    <w:name w:val="Заголовок 5 Знак"/>
    <w:basedOn w:val="709"/>
    <w:link w:val="704"/>
    <w:uiPriority w:val="9"/>
    <w:semiHidden/>
    <w:rPr>
      <w:rFonts w:asciiTheme="majorHAnsi" w:hAnsiTheme="majorHAnsi" w:eastAsiaTheme="majorEastAsia" w:cstheme="majorBidi"/>
      <w:color w:val="c45911" w:themeColor="accent2" w:themeShade="BF"/>
      <w:sz w:val="24"/>
      <w:szCs w:val="24"/>
    </w:rPr>
  </w:style>
  <w:style w:type="character" w:styleId="726" w:customStyle="1">
    <w:name w:val="Заголовок 6 Знак"/>
    <w:basedOn w:val="709"/>
    <w:link w:val="705"/>
    <w:uiPriority w:val="9"/>
    <w:semiHidden/>
    <w:rPr>
      <w:rFonts w:asciiTheme="majorHAnsi" w:hAnsiTheme="majorHAnsi" w:eastAsiaTheme="majorEastAsia" w:cstheme="majorBidi"/>
      <w:i/>
      <w:iCs/>
      <w:color w:val="833c0b" w:themeColor="accent2" w:themeShade="80"/>
      <w:sz w:val="24"/>
      <w:szCs w:val="24"/>
    </w:rPr>
  </w:style>
  <w:style w:type="character" w:styleId="727" w:customStyle="1">
    <w:name w:val="Заголовок 7 Знак"/>
    <w:basedOn w:val="709"/>
    <w:link w:val="706"/>
    <w:uiPriority w:val="9"/>
    <w:semiHidden/>
    <w:rPr>
      <w:rFonts w:asciiTheme="majorHAnsi" w:hAnsiTheme="majorHAnsi" w:eastAsiaTheme="majorEastAsia" w:cstheme="majorBidi"/>
      <w:b/>
      <w:bCs/>
      <w:color w:val="833c0b" w:themeColor="accent2" w:themeShade="80"/>
      <w:sz w:val="22"/>
      <w:szCs w:val="22"/>
    </w:rPr>
  </w:style>
  <w:style w:type="character" w:styleId="728" w:customStyle="1">
    <w:name w:val="Заголовок 8 Знак"/>
    <w:basedOn w:val="709"/>
    <w:link w:val="707"/>
    <w:uiPriority w:val="9"/>
    <w:semiHidden/>
    <w:rPr>
      <w:rFonts w:asciiTheme="majorHAnsi" w:hAnsiTheme="majorHAnsi" w:eastAsiaTheme="majorEastAsia" w:cstheme="majorBidi"/>
      <w:color w:val="833c0b" w:themeColor="accent2" w:themeShade="80"/>
      <w:sz w:val="22"/>
      <w:szCs w:val="22"/>
    </w:rPr>
  </w:style>
  <w:style w:type="character" w:styleId="729" w:customStyle="1">
    <w:name w:val="Заголовок 9 Знак"/>
    <w:basedOn w:val="709"/>
    <w:link w:val="708"/>
    <w:uiPriority w:val="9"/>
    <w:semiHidden/>
    <w:rPr>
      <w:rFonts w:asciiTheme="majorHAnsi" w:hAnsiTheme="majorHAnsi" w:eastAsiaTheme="majorEastAsia" w:cstheme="majorBidi"/>
      <w:i/>
      <w:iCs/>
      <w:color w:val="833c0b" w:themeColor="accent2" w:themeShade="80"/>
      <w:sz w:val="22"/>
      <w:szCs w:val="22"/>
    </w:rPr>
  </w:style>
  <w:style w:type="paragraph" w:styleId="730">
    <w:name w:val="Caption"/>
    <w:basedOn w:val="699"/>
    <w:next w:val="699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731">
    <w:name w:val="Subtitle"/>
    <w:basedOn w:val="699"/>
    <w:next w:val="699"/>
    <w:link w:val="732"/>
    <w:uiPriority w:val="11"/>
    <w:qFormat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styleId="732" w:customStyle="1">
    <w:name w:val="Подзаголовок Знак"/>
    <w:basedOn w:val="709"/>
    <w:link w:val="731"/>
    <w:uiPriority w:val="11"/>
    <w:rPr>
      <w:caps/>
      <w:color w:val="404040" w:themeColor="text1" w:themeTint="BF"/>
      <w:spacing w:val="20"/>
      <w:sz w:val="28"/>
      <w:szCs w:val="28"/>
    </w:rPr>
  </w:style>
  <w:style w:type="character" w:styleId="733">
    <w:name w:val="Strong"/>
    <w:basedOn w:val="709"/>
    <w:uiPriority w:val="22"/>
    <w:qFormat/>
    <w:rPr>
      <w:b/>
      <w:bCs/>
    </w:rPr>
  </w:style>
  <w:style w:type="character" w:styleId="734">
    <w:name w:val="Emphasis"/>
    <w:basedOn w:val="709"/>
    <w:uiPriority w:val="20"/>
    <w:qFormat/>
    <w:rPr>
      <w:i/>
      <w:iCs/>
      <w:color w:val="000000" w:themeColor="text1"/>
    </w:rPr>
  </w:style>
  <w:style w:type="paragraph" w:styleId="735">
    <w:name w:val="No Spacing"/>
    <w:uiPriority w:val="1"/>
    <w:qFormat/>
    <w:pPr>
      <w:spacing w:after="0" w:line="240" w:lineRule="auto"/>
    </w:pPr>
  </w:style>
  <w:style w:type="paragraph" w:styleId="736">
    <w:name w:val="Quote"/>
    <w:basedOn w:val="699"/>
    <w:next w:val="699"/>
    <w:link w:val="737"/>
    <w:uiPriority w:val="29"/>
    <w:qFormat/>
    <w:pPr>
      <w:ind w:left="720" w:right="720"/>
      <w:jc w:val="center"/>
      <w:spacing w:before="160"/>
    </w:pPr>
    <w:rPr>
      <w:rFonts w:asciiTheme="majorHAnsi" w:hAnsiTheme="majorHAnsi" w:eastAsiaTheme="majorEastAsia" w:cstheme="majorBidi"/>
      <w:color w:val="000000" w:themeColor="text1"/>
      <w:sz w:val="24"/>
      <w:szCs w:val="24"/>
    </w:rPr>
  </w:style>
  <w:style w:type="character" w:styleId="737" w:customStyle="1">
    <w:name w:val="Цитата 2 Знак"/>
    <w:basedOn w:val="709"/>
    <w:link w:val="736"/>
    <w:uiPriority w:val="29"/>
    <w:rPr>
      <w:rFonts w:asciiTheme="majorHAnsi" w:hAnsiTheme="majorHAnsi" w:eastAsiaTheme="majorEastAsia" w:cstheme="majorBidi"/>
      <w:color w:val="000000" w:themeColor="text1"/>
      <w:sz w:val="24"/>
      <w:szCs w:val="24"/>
    </w:rPr>
  </w:style>
  <w:style w:type="paragraph" w:styleId="738">
    <w:name w:val="Intense Quote"/>
    <w:basedOn w:val="699"/>
    <w:next w:val="699"/>
    <w:link w:val="739"/>
    <w:uiPriority w:val="30"/>
    <w:qFormat/>
    <w:pPr>
      <w:ind w:left="936" w:right="936"/>
      <w:jc w:val="center"/>
      <w:spacing w:before="240" w:after="240" w:line="240" w:lineRule="auto"/>
      <w:pBdr>
        <w:top w:val="single" w:color="ED7D31" w:themeColor="accent2" w:sz="24" w:space="4"/>
      </w:pBdr>
    </w:pPr>
    <w:rPr>
      <w:rFonts w:asciiTheme="majorHAnsi" w:hAnsiTheme="majorHAnsi" w:eastAsiaTheme="majorEastAsia" w:cstheme="majorBidi"/>
      <w:sz w:val="24"/>
      <w:szCs w:val="24"/>
    </w:rPr>
  </w:style>
  <w:style w:type="character" w:styleId="739" w:customStyle="1">
    <w:name w:val="Выделенная цитата Знак"/>
    <w:basedOn w:val="709"/>
    <w:link w:val="738"/>
    <w:uiPriority w:val="30"/>
    <w:rPr>
      <w:rFonts w:asciiTheme="majorHAnsi" w:hAnsiTheme="majorHAnsi" w:eastAsiaTheme="majorEastAsia" w:cstheme="majorBidi"/>
      <w:sz w:val="24"/>
      <w:szCs w:val="24"/>
    </w:rPr>
  </w:style>
  <w:style w:type="character" w:styleId="740">
    <w:name w:val="Subtle Emphasis"/>
    <w:basedOn w:val="709"/>
    <w:uiPriority w:val="19"/>
    <w:qFormat/>
    <w:rPr>
      <w:i/>
      <w:iCs/>
      <w:color w:val="595959" w:themeColor="text1" w:themeTint="A6"/>
    </w:rPr>
  </w:style>
  <w:style w:type="character" w:styleId="741">
    <w:name w:val="Intense Emphasis"/>
    <w:basedOn w:val="709"/>
    <w:uiPriority w:val="21"/>
    <w:qFormat/>
    <w:rPr>
      <w:b/>
      <w:bCs/>
      <w:i/>
      <w:iCs/>
      <w:caps w:val="0"/>
      <w:smallCaps w:val="0"/>
      <w:strike w:val="0"/>
      <w:color w:val="ed7d31" w:themeColor="accent2"/>
    </w:rPr>
  </w:style>
  <w:style w:type="character" w:styleId="742">
    <w:name w:val="Subtle Reference"/>
    <w:basedOn w:val="709"/>
    <w:uiPriority w:val="31"/>
    <w:qFormat/>
    <w:rPr>
      <w:caps w:val="0"/>
      <w:smallCaps/>
      <w:color w:val="404040" w:themeColor="text1" w:themeTint="BF"/>
      <w:spacing w:val="0"/>
      <w:u w:val="single"/>
    </w:rPr>
  </w:style>
  <w:style w:type="character" w:styleId="743">
    <w:name w:val="Intense Reference"/>
    <w:basedOn w:val="709"/>
    <w:uiPriority w:val="32"/>
    <w:qFormat/>
    <w:rPr>
      <w:b/>
      <w:bCs/>
      <w:caps w:val="0"/>
      <w:smallCaps/>
      <w:color w:val="auto"/>
      <w:spacing w:val="0"/>
      <w:u w:val="single"/>
    </w:rPr>
  </w:style>
  <w:style w:type="character" w:styleId="744">
    <w:name w:val="Book Title"/>
    <w:basedOn w:val="709"/>
    <w:uiPriority w:val="33"/>
    <w:qFormat/>
    <w:rPr>
      <w:b/>
      <w:bCs/>
      <w:caps w:val="0"/>
      <w:smallCaps/>
      <w:spacing w:val="0"/>
    </w:rPr>
  </w:style>
  <w:style w:type="paragraph" w:styleId="745">
    <w:name w:val="TOC Heading"/>
    <w:basedOn w:val="700"/>
    <w:next w:val="699"/>
    <w:uiPriority w:val="39"/>
    <w:semiHidden/>
    <w:unhideWhenUsed/>
    <w:qFormat/>
    <w:pPr>
      <w:outlineLvl w:val="9"/>
    </w:pPr>
  </w:style>
  <w:style w:type="paragraph" w:styleId="746">
    <w:name w:val="Balloon Text"/>
    <w:basedOn w:val="699"/>
    <w:link w:val="74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47" w:customStyle="1">
    <w:name w:val="Текст выноски Знак"/>
    <w:basedOn w:val="709"/>
    <w:link w:val="746"/>
    <w:uiPriority w:val="99"/>
    <w:semiHidden/>
    <w:rPr>
      <w:rFonts w:ascii="Segoe UI" w:hAnsi="Segoe UI" w:cs="Segoe UI"/>
      <w:sz w:val="18"/>
      <w:szCs w:val="18"/>
    </w:rPr>
  </w:style>
  <w:style w:type="paragraph" w:styleId="748">
    <w:name w:val="List Paragraph"/>
    <w:basedOn w:val="699"/>
    <w:uiPriority w:val="34"/>
    <w:qFormat/>
    <w:pPr>
      <w:contextualSpacing/>
      <w:ind w:left="720"/>
    </w:pPr>
  </w:style>
  <w:style w:type="paragraph" w:styleId="749">
    <w:name w:val="Footer"/>
    <w:basedOn w:val="699"/>
    <w:link w:val="7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0" w:customStyle="1">
    <w:name w:val="Нижний колонтитул Знак"/>
    <w:basedOn w:val="709"/>
    <w:link w:val="749"/>
    <w:uiPriority w:val="99"/>
  </w:style>
  <w:style w:type="table" w:styleId="751">
    <w:name w:val="Table Grid"/>
    <w:basedOn w:val="710"/>
    <w:uiPriority w:val="3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1C9DE-6638-4C80-9A75-22C070DEB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Минюст РТ-Чумаков Сергей Петрович</dc:creator>
  <cp:revision>38</cp:revision>
  <dcterms:created xsi:type="dcterms:W3CDTF">2021-11-03T09:57:00Z</dcterms:created>
  <dcterms:modified xsi:type="dcterms:W3CDTF">2024-10-11T14:34:48Z</dcterms:modified>
</cp:coreProperties>
</file>