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wmf" ContentType="image/x-wmf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0349" w:type="dxa"/>
        <w:jc w:val="left"/>
        <w:tblInd w:w="28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lastRow="0" w:firstRow="0" w:lastColumn="0" w:firstColumn="0" w:val="0000" w:noHBand="0" w:noVBand="0"/>
      </w:tblPr>
      <w:tblGrid>
        <w:gridCol w:w="3958"/>
        <w:gridCol w:w="1839"/>
        <w:gridCol w:w="4552"/>
      </w:tblGrid>
      <w:tr>
        <w:trPr>
          <w:trHeight w:val="1428" w:hRule="exact"/>
          <w:cantSplit w:val="true"/>
        </w:trPr>
        <w:tc>
          <w:tcPr>
            <w:tcW w:w="3958" w:type="dxa"/>
            <w:tcBorders/>
          </w:tcPr>
          <w:p>
            <w:pPr>
              <w:pStyle w:val="3"/>
              <w:widowControl w:val="false"/>
              <w:rPr>
                <w:color w:val="000000"/>
                <w:spacing w:val="-18"/>
                <w:szCs w:val="24"/>
              </w:rPr>
            </w:pPr>
            <w:r>
              <w:rPr>
                <w:color w:val="000000"/>
                <w:spacing w:val="-18"/>
                <w:szCs w:val="24"/>
              </w:rPr>
              <w:t>МИНИСТЕРСТВО ЭКОЛОГИИ</w:t>
            </w:r>
          </w:p>
          <w:p>
            <w:pPr>
              <w:pStyle w:val="3"/>
              <w:widowControl w:val="false"/>
              <w:rPr>
                <w:color w:val="000000"/>
                <w:spacing w:val="-18"/>
                <w:szCs w:val="24"/>
              </w:rPr>
            </w:pPr>
            <w:r>
              <w:rPr>
                <w:color w:val="000000"/>
                <w:spacing w:val="-18"/>
                <w:szCs w:val="24"/>
              </w:rPr>
              <w:t>И ПРИРОДНЫХ РЕСУРСОВ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8"/>
              </w:rPr>
            </w:pPr>
            <w:r>
              <w:rPr>
                <w:b/>
                <w:color w:val="000000"/>
                <w:spacing w:val="-18"/>
              </w:rPr>
              <w:t>РЕСПУБЛИКИ ТАТАРСТАН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3" wp14:anchorId="551D67D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94615</wp:posOffset>
                      </wp:positionV>
                      <wp:extent cx="6482715" cy="1270"/>
                      <wp:effectExtent l="5080" t="5080" r="5080" b="5080"/>
                      <wp:wrapNone/>
                      <wp:docPr id="1" name="Прямая соединительная ли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482880" cy="14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8.15pt,7.45pt" to="518.55pt,7.5pt" ID="Прямая соединительная линия 4" stroked="t" o:allowincell="f" style="position:absolute;flip:y" wp14:anchorId="551D67D8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839" w:type="dxa"/>
            <w:tcBorders/>
          </w:tcPr>
          <w:p>
            <w:pPr>
              <w:pStyle w:val="Normal"/>
              <w:widowControl w:val="false"/>
              <w:ind w:left="-70" w:right="-70" w:hanging="0"/>
              <w:jc w:val="center"/>
              <w:rPr>
                <w:b/>
              </w:rPr>
            </w:pPr>
            <w:r>
              <w:rPr/>
              <w:drawing>
                <wp:inline distT="0" distB="0" distL="0" distR="0">
                  <wp:extent cx="781050" cy="790575"/>
                  <wp:effectExtent l="0" t="0" r="0" b="0"/>
                  <wp:docPr id="2" name="Рисунок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4552" w:type="dxa"/>
            <w:tcBorders/>
          </w:tcPr>
          <w:p>
            <w:pPr>
              <w:pStyle w:val="2"/>
              <w:widowControl w:val="false"/>
              <w:ind w:right="-70" w:hanging="0"/>
              <w:rPr>
                <w:color w:val="000000"/>
                <w:spacing w:val="-14"/>
                <w:szCs w:val="24"/>
              </w:rPr>
            </w:pPr>
            <w:r>
              <w:rPr>
                <w:color w:val="000000"/>
                <w:spacing w:val="-14"/>
                <w:szCs w:val="24"/>
              </w:rPr>
              <w:t>ТАТАРСТАН РЕСПУБЛИКАСЫ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</w:rPr>
            </w:pPr>
            <w:r>
              <w:rPr>
                <w:b/>
                <w:color w:val="000000"/>
                <w:spacing w:val="-14"/>
              </w:rPr>
              <w:t>ЭКОЛОГИЯ</w:t>
            </w:r>
            <w:r>
              <w:rPr>
                <w:b/>
                <w:color w:val="000000"/>
                <w:spacing w:val="-14"/>
                <w:lang w:val="tt-RU"/>
              </w:rPr>
              <w:t xml:space="preserve"> </w:t>
            </w:r>
            <w:r>
              <w:rPr>
                <w:b/>
                <w:color w:val="000000"/>
                <w:spacing w:val="-14"/>
              </w:rPr>
              <w:t>ҺӘМ</w:t>
            </w:r>
            <w:r>
              <w:rPr>
                <w:b/>
                <w:color w:val="000000"/>
                <w:spacing w:val="-14"/>
                <w:lang w:val="tt-RU"/>
              </w:rPr>
              <w:t xml:space="preserve"> </w:t>
            </w:r>
            <w:r>
              <w:rPr>
                <w:b/>
                <w:color w:val="000000"/>
                <w:spacing w:val="-14"/>
              </w:rPr>
              <w:t>ТАБИГАТЬ</w:t>
            </w:r>
          </w:p>
          <w:p>
            <w:pPr>
              <w:pStyle w:val="Normal"/>
              <w:widowControl w:val="false"/>
              <w:jc w:val="center"/>
              <w:rPr>
                <w:b/>
                <w:color w:val="000000"/>
                <w:spacing w:val="-14"/>
              </w:rPr>
            </w:pPr>
            <w:r>
              <w:rPr>
                <w:b/>
                <w:color w:val="000000"/>
                <w:spacing w:val="-14"/>
              </w:rPr>
              <w:t>РЕСУРСЛАРЫ МИНИСТРЛЫГЫ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240" w:after="0"/>
        <w:jc w:val="both"/>
        <w:rPr>
          <w:b/>
        </w:rPr>
      </w:pPr>
      <w:r>
        <w:rPr/>
        <w:t xml:space="preserve">                         </w:t>
      </w:r>
      <w:r>
        <w:rPr>
          <w:b/>
        </w:rPr>
        <w:t xml:space="preserve">ПРИКАЗ </w:t>
      </w:r>
      <w:r>
        <w:rPr/>
        <w:t xml:space="preserve">                                    г. Казань                                    </w:t>
      </w:r>
      <w:r>
        <w:rPr>
          <w:b/>
        </w:rPr>
        <w:t>БОЕРЫК</w:t>
      </w:r>
    </w:p>
    <w:p>
      <w:pPr>
        <w:pStyle w:val="Normal"/>
        <w:spacing w:lineRule="exact" w:line="280"/>
        <w:ind w:left="-284" w:hanging="0"/>
        <w:jc w:val="both"/>
        <w:rPr/>
      </w:pPr>
      <w:r>
        <w:rPr/>
        <w:t xml:space="preserve">                            </w:t>
      </w:r>
      <w:r>
        <w:rPr/>
        <w:t>__________                                                                                    ___</w:t>
      </w:r>
      <w:r>
        <w:rPr>
          <w:u w:val="none"/>
        </w:rPr>
        <w:t>__</w:t>
      </w:r>
      <w:r>
        <w:rPr/>
        <w:t>_____</w:t>
      </w:r>
    </w:p>
    <w:p>
      <w:pPr>
        <w:pStyle w:val="Default"/>
        <w:tabs>
          <w:tab w:val="clear" w:pos="708"/>
          <w:tab w:val="left" w:pos="4111" w:leader="none"/>
        </w:tabs>
        <w:ind w:right="6007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left="284" w:right="5438" w:hanging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Об утверждении Дополнения № 14 к </w:t>
      </w:r>
      <w:r>
        <w:rPr>
          <w:rFonts w:eastAsia="Calibri"/>
          <w:bCs/>
          <w:sz w:val="28"/>
          <w:szCs w:val="28"/>
        </w:rPr>
        <w:t xml:space="preserve">Перечню участков недр местного значения по Республике Татарстан, утвержденному приказом Министерства экологии и природных ресурсов Республики Татарстан от 01.09.2021 </w:t>
        <w:br/>
        <w:t>№ 949-п</w:t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08"/>
          <w:tab w:val="left" w:pos="617" w:leader="none"/>
        </w:tabs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статьей 2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>, пунктами 3, 7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, 9 статьи 4, пунктами 1, 2, 4 части третьей статьи 16 Закона Российской Федерации от 21 февраля 1992 года № 2395-1 </w:t>
        <w:br/>
        <w:t>«О недрах», Порядком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перечней, а также внесения в них изменений, утвержденным приказом Федерального агентства по недропользованию от 29 мая 2023 г. № 304, Положением о Министерстве экологии и природных ресурсов Республики Татарстан, утвержденным постановлением Кабинета Министров Республики Татарстан от 06.07.2005 № 325 «Вопросы Министерства экологии и природных ресурсов Республики Татарстан», приказываю:</w:t>
      </w:r>
    </w:p>
    <w:p>
      <w:pPr>
        <w:pStyle w:val="Normal"/>
        <w:tabs>
          <w:tab w:val="clear" w:pos="708"/>
          <w:tab w:val="left" w:pos="851" w:leader="none"/>
          <w:tab w:val="left" w:pos="1276" w:leader="none"/>
        </w:tabs>
        <w:ind w:firstLine="567"/>
        <w:jc w:val="both"/>
        <w:rPr>
          <w:rFonts w:ascii="Calibri" w:hAnsi="Calibri" w:eastAsia="Calibri"/>
          <w:sz w:val="20"/>
          <w:szCs w:val="28"/>
        </w:rPr>
      </w:pPr>
      <w:r>
        <w:rPr>
          <w:rFonts w:eastAsia="Calibri" w:ascii="Calibri" w:hAnsi="Calibri"/>
          <w:sz w:val="20"/>
          <w:szCs w:val="28"/>
        </w:rPr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Утвердить прилагаемое Дополнение № 14 к Перечню участков недр местного значения по Республике Татарстан, утвержденному приказом Министерства </w:t>
      </w:r>
      <w:r>
        <w:rPr>
          <w:rFonts w:eastAsia="Calibri"/>
          <w:bCs/>
          <w:sz w:val="28"/>
          <w:szCs w:val="28"/>
        </w:rPr>
        <w:t>экологии и природных ресурсов Республики Татарстан от 01.09.2021 № 949-п (</w:t>
      </w:r>
      <w:r>
        <w:rPr>
          <w:rFonts w:eastAsia="Calibri"/>
          <w:sz w:val="28"/>
          <w:szCs w:val="28"/>
        </w:rPr>
        <w:t xml:space="preserve">с изменениями, внесёнными </w:t>
      </w:r>
      <w:r>
        <w:rPr>
          <w:rFonts w:eastAsia="Calibri"/>
          <w:sz w:val="28"/>
          <w:szCs w:val="28"/>
          <w:lang w:val="tt-RU"/>
        </w:rPr>
        <w:t>п</w:t>
      </w:r>
      <w:r>
        <w:rPr>
          <w:rFonts w:eastAsia="Calibri"/>
          <w:sz w:val="28"/>
          <w:szCs w:val="28"/>
        </w:rPr>
        <w:t>риказами Министерства экологии и природных ресурсов Республики Татарстан от 11.11.2021 №</w:t>
      </w:r>
      <w:r>
        <w:rPr>
          <w:rFonts w:eastAsia="Calibri"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</w:rPr>
        <w:t>1226-п, от 17.12.2021 №</w:t>
      </w:r>
      <w:r>
        <w:rPr>
          <w:rFonts w:eastAsia="Calibri"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</w:rPr>
        <w:t>1433-п, от 14.04.2022 №</w:t>
      </w:r>
      <w:r>
        <w:rPr>
          <w:rFonts w:eastAsia="Calibri"/>
          <w:sz w:val="28"/>
          <w:szCs w:val="28"/>
          <w:lang w:val="tt-RU"/>
        </w:rPr>
        <w:t xml:space="preserve"> </w:t>
      </w:r>
      <w:r>
        <w:rPr>
          <w:rFonts w:eastAsia="Calibri"/>
          <w:sz w:val="28"/>
          <w:szCs w:val="28"/>
        </w:rPr>
        <w:t xml:space="preserve">268-п, от 08.09.2022 № 785-п, от 10.11.2022 № 1031-п, от 26.12.2022 № 1256-п, от 06.06.2023 </w:t>
        <w:br/>
        <w:t>№ 694-п, от 14.07.2023 № 826-п, от 17.10.2023 №1201-п, от 23.10.2023 №1237-п, от 19.12.2023 №1515-п, от 04.04.2024 №382-п, от 13.06.2024 №664-п) (далее - Дополнение № 14 к Перечню), согласованное с Департаментом по недропользованию по Приволжскому федеральному округу.</w:t>
      </w:r>
    </w:p>
    <w:p>
      <w:pPr>
        <w:pStyle w:val="Normal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2. Установить в отношении участков недр местного значения, указанных в пунктах 352-354 </w:t>
      </w:r>
      <w:r>
        <w:rPr>
          <w:rFonts w:eastAsia="Calibri"/>
          <w:sz w:val="28"/>
          <w:szCs w:val="28"/>
        </w:rPr>
        <w:t>Дополнения № 14 к Перечню</w:t>
      </w:r>
      <w:r>
        <w:rPr>
          <w:rFonts w:eastAsia="Calibri"/>
          <w:color w:val="000000"/>
          <w:sz w:val="28"/>
          <w:szCs w:val="28"/>
        </w:rPr>
        <w:t>, вид пользования «геологическое изучение, разведка и добыча полезных ископаемых».</w:t>
      </w:r>
    </w:p>
    <w:p>
      <w:pPr>
        <w:pStyle w:val="Normal"/>
        <w:ind w:firstLine="567"/>
        <w:jc w:val="both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 Отделу информационных геологических ресурсов и мониторинга геологической среды обеспечить </w:t>
      </w:r>
      <w:r>
        <w:rPr>
          <w:rFonts w:eastAsia="Calibri"/>
          <w:sz w:val="28"/>
          <w:szCs w:val="28"/>
        </w:rPr>
        <w:t>опубликование</w:t>
      </w:r>
      <w:r>
        <w:rPr>
          <w:rFonts w:eastAsia="Times New Roman"/>
          <w:sz w:val="28"/>
          <w:szCs w:val="28"/>
        </w:rPr>
        <w:t xml:space="preserve"> Дополнения № 14 к Перечню </w:t>
      </w:r>
      <w:r>
        <w:rPr>
          <w:rFonts w:eastAsia="Calibri"/>
          <w:sz w:val="28"/>
          <w:szCs w:val="28"/>
        </w:rPr>
        <w:t>на официальном сайте Министерства экологии и природных ресурсов Республики Татарстан и на официальном сайте Российской Федерации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Отделу правового обеспечения обеспечить направление настоящего приказа на государственную регистрацию в Министерство юстиции Республики Татарстан.</w:t>
      </w:r>
    </w:p>
    <w:p>
      <w:pPr>
        <w:pStyle w:val="Normal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 Контроль за исполнением настоящего приказа возложить на заместителя министра А.А. Тугушева. </w:t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709" w:right="570" w:gutter="0" w:header="0" w:top="709" w:footer="0" w:bottom="1135"/>
          <w:pgNumType w:fmt="decimal"/>
          <w:formProt w:val="false"/>
          <w:textDirection w:val="lrTb"/>
          <w:docGrid w:type="default" w:linePitch="100" w:charSpace="0"/>
        </w:sect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И.И. Губайдуллин</w:t>
      </w:r>
      <w:r>
        <w:br w:type="page"/>
      </w:r>
    </w:p>
    <w:tbl>
      <w:tblPr>
        <w:tblW w:w="1604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7"/>
        <w:gridCol w:w="979"/>
        <w:gridCol w:w="1338"/>
        <w:gridCol w:w="101"/>
        <w:gridCol w:w="778"/>
        <w:gridCol w:w="260"/>
        <w:gridCol w:w="1"/>
        <w:gridCol w:w="517"/>
        <w:gridCol w:w="446"/>
        <w:gridCol w:w="432"/>
        <w:gridCol w:w="492"/>
        <w:gridCol w:w="645"/>
        <w:gridCol w:w="499"/>
        <w:gridCol w:w="449"/>
        <w:gridCol w:w="61"/>
        <w:gridCol w:w="613"/>
        <w:gridCol w:w="781"/>
        <w:gridCol w:w="677"/>
        <w:gridCol w:w="810"/>
        <w:gridCol w:w="812"/>
        <w:gridCol w:w="146"/>
        <w:gridCol w:w="1126"/>
        <w:gridCol w:w="1082"/>
        <w:gridCol w:w="78"/>
        <w:gridCol w:w="881"/>
        <w:gridCol w:w="1550"/>
      </w:tblGrid>
      <w:tr>
        <w:trPr>
          <w:trHeight w:val="900" w:hRule="atLeast"/>
        </w:trPr>
        <w:tc>
          <w:tcPr>
            <w:tcW w:w="3683" w:type="dxa"/>
            <w:gridSpan w:val="5"/>
            <w:tcBorders/>
            <w:shd w:color="000000" w:fill="FFFFFF" w:val="clear"/>
            <w:vAlign w:val="center"/>
          </w:tcPr>
          <w:p>
            <w:pPr>
              <w:pStyle w:val="Normal"/>
              <w:pageBreakBefore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УТВЕРЖДАЮ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Министр экологии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 природных ресурсов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Республики Татарстан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 А.В. Шадриков</w:t>
            </w:r>
          </w:p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"</w:t>
            </w:r>
            <w:r>
              <w:rPr>
                <w:rFonts w:eastAsia="Times New Roman"/>
                <w:color w:val="000000"/>
                <w:sz w:val="20"/>
                <w:szCs w:val="20"/>
              </w:rPr>
              <w:t>____</w:t>
            </w:r>
            <w:r>
              <w:rPr>
                <w:rFonts w:eastAsia="Times New Roman"/>
                <w:b/>
                <w:sz w:val="20"/>
                <w:szCs w:val="20"/>
              </w:rPr>
              <w:t>"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 2024 г.</w:t>
            </w:r>
          </w:p>
        </w:tc>
        <w:tc>
          <w:tcPr>
            <w:tcW w:w="3802" w:type="dxa"/>
            <w:gridSpan w:val="10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</w:r>
          </w:p>
        </w:tc>
        <w:tc>
          <w:tcPr>
            <w:tcW w:w="2071" w:type="dxa"/>
            <w:gridSpan w:val="3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810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</w:r>
          </w:p>
        </w:tc>
        <w:tc>
          <w:tcPr>
            <w:tcW w:w="2084" w:type="dxa"/>
            <w:gridSpan w:val="3"/>
            <w:tcBorders/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mc:AlternateContent>
                <mc:Choice Requires="wps">
                  <w:drawing>
                    <wp:anchor behindDoc="0" distT="635" distB="0" distL="635" distR="0" simplePos="0" locked="0" layoutInCell="1" allowOverlap="1" relativeHeight="4" wp14:anchorId="4B8EABD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-174625</wp:posOffset>
                      </wp:positionV>
                      <wp:extent cx="3343275" cy="1557020"/>
                      <wp:effectExtent l="635" t="635" r="0" b="0"/>
                      <wp:wrapNone/>
                      <wp:docPr id="3" name="Надпись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320" cy="155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8"/>
                                    <w:widowControl w:val="false"/>
                                    <w:ind w:firstLine="1701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suppressAutoHyphens w:val="true"/>
                                    <w:bidi w:val="0"/>
                                    <w:spacing w:before="0" w:after="0"/>
                                    <w:ind w:left="0" w:right="170" w:firstLine="1417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СОГЛАСОВАНО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suppressAutoHyphens w:val="true"/>
                                    <w:bidi w:val="0"/>
                                    <w:spacing w:before="0" w:after="0"/>
                                    <w:ind w:left="0" w:right="170" w:firstLine="1417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Заместитель начальника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suppressAutoHyphens w:val="true"/>
                                    <w:bidi w:val="0"/>
                                    <w:spacing w:before="0" w:after="0"/>
                                    <w:ind w:left="0" w:right="170" w:firstLine="1417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Департамента по недропользованию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suppressAutoHyphens w:val="true"/>
                                    <w:bidi w:val="0"/>
                                    <w:spacing w:before="0" w:after="0"/>
                                    <w:ind w:left="0" w:right="170" w:firstLine="1417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по Приволжскому федеральному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suppressAutoHyphens w:val="true"/>
                                    <w:bidi w:val="0"/>
                                    <w:spacing w:before="0" w:after="0"/>
                                    <w:ind w:left="0" w:right="170" w:firstLine="1417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округу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suppressAutoHyphens w:val="true"/>
                                    <w:bidi w:val="0"/>
                                    <w:spacing w:before="0" w:after="0"/>
                                    <w:ind w:left="0" w:right="170" w:firstLine="1417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______________Р.Н. Мухаметшин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suppressAutoHyphens w:val="true"/>
                                    <w:bidi w:val="0"/>
                                    <w:spacing w:before="0" w:after="0"/>
                                    <w:ind w:left="0" w:right="170" w:firstLine="1417"/>
                                    <w:jc w:val="left"/>
                                    <w:rPr/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"____" ___________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2024 г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1" path="m0,0l-2147483645,0l-2147483645,-2147483646l0,-2147483646xe" fillcolor="white" stroked="f" o:allowincell="f" style="position:absolute;margin-left:29.25pt;margin-top:-13.75pt;width:263.2pt;height:122.55pt;mso-wrap-style:square;v-text-anchor:top" wp14:anchorId="4B8EABDB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8"/>
                              <w:widowControl w:val="false"/>
                              <w:ind w:firstLine="1701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suppressAutoHyphens w:val="true"/>
                              <w:bidi w:val="0"/>
                              <w:spacing w:before="0" w:after="0"/>
                              <w:ind w:left="0" w:right="170" w:firstLine="1417"/>
                              <w:jc w:val="left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suppressAutoHyphens w:val="true"/>
                              <w:bidi w:val="0"/>
                              <w:spacing w:before="0" w:after="0"/>
                              <w:ind w:left="0" w:right="170" w:firstLine="1417"/>
                              <w:jc w:val="left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Заместитель начальника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suppressAutoHyphens w:val="true"/>
                              <w:bidi w:val="0"/>
                              <w:spacing w:before="0" w:after="0"/>
                              <w:ind w:left="0" w:right="170" w:firstLine="1417"/>
                              <w:jc w:val="left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Департамента по недропользованию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suppressAutoHyphens w:val="true"/>
                              <w:bidi w:val="0"/>
                              <w:spacing w:before="0" w:after="0"/>
                              <w:ind w:left="0" w:right="170" w:firstLine="1417"/>
                              <w:jc w:val="left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по Приволжскому федеральному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suppressAutoHyphens w:val="true"/>
                              <w:bidi w:val="0"/>
                              <w:spacing w:before="0" w:after="0"/>
                              <w:ind w:left="0" w:right="170" w:firstLine="1417"/>
                              <w:jc w:val="left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округу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suppressAutoHyphens w:val="true"/>
                              <w:bidi w:val="0"/>
                              <w:spacing w:before="0" w:after="0"/>
                              <w:ind w:left="0" w:right="170" w:firstLine="1417"/>
                              <w:jc w:val="left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______________Р.Н. Мухаметшин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suppressAutoHyphens w:val="true"/>
                              <w:bidi w:val="0"/>
                              <w:spacing w:before="0" w:after="0"/>
                              <w:ind w:left="0" w:right="170" w:firstLine="1417"/>
                              <w:jc w:val="left"/>
                              <w:rPr/>
                            </w:pP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"____" ___________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2024 г</w:t>
                            </w:r>
                            <w:r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160" w:type="dxa"/>
            <w:gridSpan w:val="2"/>
            <w:tcBorders/>
            <w:shd w:color="000000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431" w:type="dxa"/>
            <w:gridSpan w:val="2"/>
            <w:tcBorders/>
            <w:shd w:color="000000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СОГЛАСОВАНО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Заместитель начал</w:t>
            </w:r>
          </w:p>
        </w:tc>
      </w:tr>
      <w:tr>
        <w:trPr>
          <w:trHeight w:val="367" w:hRule="atLeast"/>
        </w:trPr>
        <w:tc>
          <w:tcPr>
            <w:tcW w:w="1466" w:type="dxa"/>
            <w:gridSpan w:val="2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mc:AlternateContent>
                <mc:Choice Requires="wps">
                  <w:drawing>
                    <wp:anchor behindDoc="0" distT="0" distB="0" distL="635" distR="0" simplePos="0" locked="0" layoutInCell="1" allowOverlap="1" relativeHeight="6" wp14:anchorId="7CFCAC5F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26035</wp:posOffset>
                      </wp:positionV>
                      <wp:extent cx="1908810" cy="285750"/>
                      <wp:effectExtent l="635" t="0" r="0" b="0"/>
                      <wp:wrapNone/>
                      <wp:docPr id="4" name="Надпись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720" cy="28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8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6" path="m0,0l-2147483645,0l-2147483645,-2147483646l0,-2147483646xe" fillcolor="white" stroked="f" o:allowincell="f" style="position:absolute;margin-left:-7.75pt;margin-top:2.05pt;width:150.25pt;height:22.45pt;mso-wrap-style:none;v-text-anchor:middle" wp14:anchorId="7CFCAC5F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8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mc:AlternateContent>
                <mc:Choice Requires="wps">
                  <w:drawing>
                    <wp:anchor behindDoc="0" distT="0" distB="0" distL="635" distR="0" simplePos="0" locked="0" layoutInCell="1" allowOverlap="1" relativeHeight="8" wp14:anchorId="293F39E4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160655</wp:posOffset>
                      </wp:positionV>
                      <wp:extent cx="6791325" cy="270510"/>
                      <wp:effectExtent l="635" t="0" r="0" b="0"/>
                      <wp:wrapNone/>
                      <wp:docPr id="5" name="Надпись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1400" cy="270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8"/>
                                    <w:widowControl w:val="false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Дополнение № 14 к Перечню участков недр местного значения по Республике Татарстан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7" path="m0,0l-2147483645,0l-2147483645,-2147483646l0,-2147483646xe" fillcolor="white" stroked="f" o:allowincell="f" style="position:absolute;margin-left:62pt;margin-top:12.65pt;width:534.7pt;height:21.25pt;mso-wrap-style:square;v-text-anchor:top" wp14:anchorId="293F39E4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8"/>
                              <w:widowControl w:val="fals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Дополнение № 14 к Перечню участков недр местного значения по Республике Татарстан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1466" w:type="dxa"/>
            <w:gridSpan w:val="2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7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3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4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8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7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1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8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59" w:type="dxa"/>
            <w:gridSpan w:val="2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Вид полезного ископаемого</w:t>
            </w:r>
          </w:p>
        </w:tc>
        <w:tc>
          <w:tcPr>
            <w:tcW w:w="24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Наименование участка недр (месторождение, участок, площадь), местоположение (район)</w:t>
            </w:r>
          </w:p>
        </w:tc>
        <w:tc>
          <w:tcPr>
            <w:tcW w:w="4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Обшая плошадь (S), га</w:t>
              <w:br/>
              <w:t>Географические координаты крайних точек участка недр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(ГСК 2011)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Запасы и прогнозные ресурсы участка недр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Месторождения и (или) проявления ОПИ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Реквизиты лицензии на пользование участком недр местного значения (в случае если участок недр предоставлен в пользование)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Реквизиты лицензии на пользование участком недр, не относящимся к участку недр местного значения (в случае если участок недр находится в границах участка недр, предоставленного в пользование)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Отнесение участка недр к распределенному или нераспределенному фонду недр</w:t>
            </w:r>
            <w:bookmarkStart w:id="0" w:name="_GoBack"/>
            <w:bookmarkEnd w:id="0"/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Информация о том, планируется участок недр к лицензированию (указывается квартал и год) или не планируется к лицензированию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Ограничение пользования недрами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</w:tr>
      <w:tr>
        <w:trPr>
          <w:trHeight w:val="1125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247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S, га</w:t>
            </w:r>
          </w:p>
        </w:tc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с.ш.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в.д.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запасов и прогнозных ресурсов (с указанием категории) (тыс.м</w:t>
            </w:r>
            <w:r>
              <w:rPr>
                <w:rFonts w:eastAsia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Протокол экспертизы запасов полезных ископаемых (при наличии) (экспертный орган, номер, дата)</w:t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9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</w:tr>
      <w:tr>
        <w:trPr>
          <w:trHeight w:val="109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247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5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точ.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град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мин.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сек.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град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мин.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240"/>
              <w:ind w:left="-108" w:right="-108" w:hanging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сек.</w:t>
            </w:r>
          </w:p>
        </w:tc>
        <w:tc>
          <w:tcPr>
            <w:tcW w:w="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9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5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</w:tr>
      <w:tr>
        <w:trPr>
          <w:trHeight w:val="283" w:hRule="atLeast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52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песок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ПГП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участок недр «Северо-Каратаевский»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Мамадышский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12,02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57,13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53,74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>
              <w:rPr>
                <w:rFonts w:eastAsia="Times New Roman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-516,5- песок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Р</w:t>
            </w:r>
            <w:r>
              <w:rPr>
                <w:rFonts w:eastAsia="Times New Roman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-280,7-ПГП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ТАТ 02392 НР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Танайский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55,3</w:t>
            </w:r>
          </w:p>
        </w:tc>
        <w:tc>
          <w:tcPr>
            <w:tcW w:w="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12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54,87</w:t>
            </w:r>
          </w:p>
        </w:tc>
        <w:tc>
          <w:tcPr>
            <w:tcW w:w="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7,13</w:t>
            </w:r>
          </w:p>
        </w:tc>
        <w:tc>
          <w:tcPr>
            <w:tcW w:w="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6,99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13,78</w:t>
            </w:r>
          </w:p>
        </w:tc>
        <w:tc>
          <w:tcPr>
            <w:tcW w:w="7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8,48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20,72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56,87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56,43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23,09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56,47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15,25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57,09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56,91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7,64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55,99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55,64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353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  <w:t>ПГП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  <w:t>участок недр «Кзыл-Ярский»</w:t>
            </w:r>
          </w:p>
        </w:tc>
        <w:tc>
          <w:tcPr>
            <w:tcW w:w="113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Бавлинский</w:t>
            </w:r>
          </w:p>
        </w:tc>
        <w:tc>
          <w:tcPr>
            <w:tcW w:w="5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40,3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35,57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0,45</w:t>
            </w:r>
          </w:p>
        </w:tc>
        <w:tc>
          <w:tcPr>
            <w:tcW w:w="7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Р</w:t>
            </w: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-981,3</w:t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ТАТ 14136 НЭ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Бугульминско-Тумутукская зона</w:t>
            </w: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Участок недр попадает в границы Кзыл-Яровского месторождения технических подземных вод. Необходимо выполнение мероприятий по предотвращению загрязнения подземных вод согласно Постановлению Правительства Российской Федерации от 11.02.2016 №94 «Об утверждении Правил охраны подземных водных объектов»</w:t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36,02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16,10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37,30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16,18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37,35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21,12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34,34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21,24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28,40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35,61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21,88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38,27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19,05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35,34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17,45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30,43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15,14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27,88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11,74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26,84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14,10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21,01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4,03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10,42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7,38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1,35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17,66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12,12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18,10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11,0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24,31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1,62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28,36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1,11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354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  <w:t>суглинки</w:t>
            </w:r>
          </w:p>
        </w:tc>
        <w:tc>
          <w:tcPr>
            <w:tcW w:w="13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  <w:t>участок недр «Северо-Воровское»</w:t>
            </w:r>
          </w:p>
        </w:tc>
        <w:tc>
          <w:tcPr>
            <w:tcW w:w="113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Мензелинский</w:t>
            </w:r>
          </w:p>
        </w:tc>
        <w:tc>
          <w:tcPr>
            <w:tcW w:w="51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16,01</w:t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57,45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17,49</w:t>
            </w:r>
          </w:p>
        </w:tc>
        <w:tc>
          <w:tcPr>
            <w:tcW w:w="7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ТАТ 02391НР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  <w:t>Мензелинский</w:t>
            </w:r>
          </w:p>
        </w:tc>
        <w:tc>
          <w:tcPr>
            <w:tcW w:w="10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shd w:fill="FFFFFF" w:val="clear"/>
                <w:lang w:val="ru-RU" w:eastAsia="ru-RU" w:bidi="ar-SA"/>
              </w:rPr>
              <w:t>Необходимо соблюдение требований Водного Кодекса Российской Федерации</w:t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57,72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17,65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57,90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17,71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58,11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17,74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72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58,29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17,73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58,46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17,68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190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58,69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17,57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58,96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17,39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59,06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17,30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59,13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17,23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59,23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17,12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59,90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16,50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59,96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16,44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3,04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20,14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6,06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21,07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8,11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22,08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8,11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22,09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8,06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22,56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7,99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23,07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7,94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23,32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7,88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23,79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7,78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24,72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7,71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25,63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7,65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26,52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7,61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27,40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7,59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28,30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7,59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28,75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7,61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29,11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7,61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29,73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7,58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31,00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7,56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32,32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7,54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31,64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7,52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32,38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7,52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32,58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7,48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33,48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7,45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33,79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7,43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33,97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7,38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34,92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7,30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36,57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7,29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36,97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7,29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37,11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7,30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37,29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7,28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37,83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7,24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38,58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7,17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39,54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7,07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40,53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6,96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41,49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6,86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42,15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6,72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42,94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6,49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44,14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6,30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45,00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6,17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45,54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5,92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46,45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5,72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47,14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5,61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47,47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5,54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47,65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5,11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48,49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4,44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49,75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4,36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49,91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3,46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50,89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2,97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51,83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0,18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55,16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0,56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56,20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0,29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56,69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0,14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56,99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59,44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57,21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58,68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56,83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57,94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55,69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69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57,56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54,27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56,91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44,40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56,91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43,01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57,14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41,18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57,62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38,73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57,86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37,66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57,92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37,48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58,11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36,83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58,31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36,23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58,52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35,67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79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58,72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35,14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58,93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34,66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59,14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34,22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59,36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33,80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59,61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33,37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59,89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32,93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0,20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32,47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0,54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32,00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0,91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31,52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1,31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31,03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89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1,75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30,53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2,31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29,90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2,61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29,62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2,87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29,42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3,14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29,26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3,35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29,13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3,54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28,98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3,70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28,81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3,84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28,63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3,99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28,38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99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4,12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28,15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4,24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27,92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4,33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27,70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4,41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27,49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4,47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27,29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4,51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27,10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4,53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26,92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4,53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26,75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4,52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26,62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4,49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26,51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4,46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26,40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4,42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26,30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4,37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26,21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4,31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26,12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4,24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26,04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4,16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25,97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4,06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25,90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4,03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25,90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117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3,36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25,97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118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0,62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26,37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119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59,45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26,57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120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58,92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26,70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121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58,15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26,92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122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57,47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27,13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123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56,87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27,36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124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56,19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24,24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125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56,50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22,56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283" w:hRule="atLeast"/>
        </w:trPr>
        <w:tc>
          <w:tcPr>
            <w:tcW w:w="4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33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113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51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126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55</w:t>
            </w:r>
          </w:p>
        </w:tc>
        <w:tc>
          <w:tcPr>
            <w:tcW w:w="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40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56,57</w:t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53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10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color w:val="000000"/>
                <w:sz w:val="18"/>
                <w:szCs w:val="18"/>
                <w:shd w:fill="FFFFFF" w:val="clear"/>
              </w:rPr>
              <w:t>22,20</w:t>
            </w:r>
          </w:p>
        </w:tc>
        <w:tc>
          <w:tcPr>
            <w:tcW w:w="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6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none"/>
                <w:shd w:fill="FFFFFF" w:val="clear"/>
              </w:rPr>
            </w:pPr>
            <w:r>
              <w:rPr>
                <w:rFonts w:eastAsia="Times New Roman"/>
                <w:color w:val="000000"/>
                <w:sz w:val="18"/>
                <w:szCs w:val="18"/>
                <w:shd w:fill="FFFFFF" w:val="clear"/>
              </w:rPr>
            </w:r>
          </w:p>
        </w:tc>
        <w:tc>
          <w:tcPr>
            <w:tcW w:w="8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1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0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95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15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</w:t>
      </w:r>
      <w:r>
        <w:rPr/>
        <w:t>Заместитель министра                                                                                                                                                             А.А. Тугушев</w:t>
      </w:r>
    </w:p>
    <w:sectPr>
      <w:type w:val="nextPage"/>
      <w:pgSz w:orient="landscape" w:w="16838" w:h="11906"/>
      <w:pgMar w:left="580" w:right="540" w:gutter="0" w:header="0" w:top="105" w:footer="0" w:bottom="29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140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21eff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 w:customStyle="1">
    <w:name w:val="Основной текст_"/>
    <w:link w:val="11"/>
    <w:qFormat/>
    <w:rsid w:val="009d3099"/>
    <w:rPr>
      <w:sz w:val="27"/>
      <w:szCs w:val="27"/>
      <w:shd w:fill="FFFFFF" w:val="clear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374ba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374ba"/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character" w:styleId="Style18" w:customStyle="1">
    <w:name w:val="Основной текст Знак"/>
    <w:basedOn w:val="DefaultParagraphFont"/>
    <w:uiPriority w:val="1"/>
    <w:qFormat/>
    <w:rsid w:val="00db60fe"/>
    <w:rPr>
      <w:rFonts w:ascii="Times New Roman" w:hAnsi="Times New Roman" w:eastAsia="Times New Roman" w:cs="Times New Roman"/>
      <w:b/>
      <w:bCs/>
      <w:sz w:val="15"/>
      <w:szCs w:val="15"/>
      <w:lang w:eastAsia="ru-RU" w:bidi="ru-RU"/>
    </w:rPr>
  </w:style>
  <w:style w:type="character" w:styleId="1" w:customStyle="1">
    <w:name w:val="Табл_1 Знак"/>
    <w:basedOn w:val="DefaultParagraphFont"/>
    <w:link w:val="12"/>
    <w:qFormat/>
    <w:rsid w:val="00e7393a"/>
    <w:rPr>
      <w:rFonts w:ascii="Times New Roman" w:hAnsi="Times New Roman" w:eastAsia="Calibri" w:cs="Times New Roman"/>
      <w:sz w:val="26"/>
      <w:szCs w:val="26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Style18"/>
    <w:uiPriority w:val="1"/>
    <w:qFormat/>
    <w:rsid w:val="00db60fe"/>
    <w:pPr>
      <w:widowControl w:val="false"/>
      <w:ind w:left="557" w:hanging="0"/>
    </w:pPr>
    <w:rPr>
      <w:rFonts w:eastAsia="Times New Roman"/>
      <w:b/>
      <w:bCs/>
      <w:sz w:val="15"/>
      <w:szCs w:val="15"/>
      <w:lang w:bidi="ru-RU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51400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2" w:customStyle="1">
    <w:name w:val="заголовок 2"/>
    <w:basedOn w:val="Normal"/>
    <w:next w:val="Normal"/>
    <w:qFormat/>
    <w:rsid w:val="00a70016"/>
    <w:pPr>
      <w:keepNext w:val="true"/>
      <w:jc w:val="center"/>
    </w:pPr>
    <w:rPr>
      <w:rFonts w:eastAsia="Times New Roman"/>
      <w:b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21eff"/>
    <w:pPr/>
    <w:rPr>
      <w:rFonts w:ascii="Tahoma" w:hAnsi="Tahoma" w:cs="Tahoma"/>
      <w:sz w:val="16"/>
      <w:szCs w:val="16"/>
    </w:rPr>
  </w:style>
  <w:style w:type="paragraph" w:styleId="11" w:customStyle="1">
    <w:name w:val="Основной текст1"/>
    <w:basedOn w:val="Normal"/>
    <w:link w:val="Style15"/>
    <w:qFormat/>
    <w:rsid w:val="009d3099"/>
    <w:pPr>
      <w:shd w:val="clear" w:color="auto" w:fill="FFFFFF"/>
      <w:spacing w:lineRule="exact" w:line="322" w:before="600" w:after="600"/>
      <w:ind w:hanging="640"/>
      <w:jc w:val="both"/>
    </w:pPr>
    <w:rPr>
      <w:rFonts w:ascii="Calibri" w:hAnsi="Calibri" w:eastAsia="Calibri" w:cs="" w:asciiTheme="minorHAnsi" w:cstheme="minorBidi" w:eastAsiaTheme="minorHAnsi" w:hAnsiTheme="minorHAnsi"/>
      <w:sz w:val="27"/>
      <w:szCs w:val="27"/>
      <w:lang w:eastAsia="en-US"/>
    </w:rPr>
  </w:style>
  <w:style w:type="paragraph" w:styleId="ConsPlusNormal" w:customStyle="1">
    <w:name w:val="ConsPlusNormal"/>
    <w:qFormat/>
    <w:rsid w:val="005c61b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6"/>
    <w:uiPriority w:val="99"/>
    <w:unhideWhenUsed/>
    <w:rsid w:val="00f374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7"/>
    <w:uiPriority w:val="99"/>
    <w:unhideWhenUsed/>
    <w:rsid w:val="00f374b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" w:customStyle="1">
    <w:name w:val="заголовок 3"/>
    <w:basedOn w:val="Normal"/>
    <w:next w:val="Normal"/>
    <w:qFormat/>
    <w:rsid w:val="00a622b0"/>
    <w:pPr>
      <w:keepNext w:val="true"/>
      <w:ind w:firstLine="3"/>
      <w:jc w:val="center"/>
    </w:pPr>
    <w:rPr>
      <w:rFonts w:eastAsia="Times New Roman"/>
      <w:b/>
      <w:szCs w:val="20"/>
    </w:rPr>
  </w:style>
  <w:style w:type="paragraph" w:styleId="ListParagraph">
    <w:name w:val="List Paragraph"/>
    <w:basedOn w:val="Normal"/>
    <w:uiPriority w:val="1"/>
    <w:qFormat/>
    <w:rsid w:val="00db60fe"/>
    <w:pPr>
      <w:widowControl w:val="false"/>
    </w:pPr>
    <w:rPr>
      <w:rFonts w:eastAsia="Times New Roman"/>
      <w:sz w:val="22"/>
      <w:szCs w:val="22"/>
      <w:lang w:bidi="ru-RU"/>
    </w:rPr>
  </w:style>
  <w:style w:type="paragraph" w:styleId="TableParagraph" w:customStyle="1">
    <w:name w:val="Table Paragraph"/>
    <w:basedOn w:val="Normal"/>
    <w:uiPriority w:val="1"/>
    <w:qFormat/>
    <w:rsid w:val="00db60fe"/>
    <w:pPr>
      <w:widowControl w:val="false"/>
      <w:spacing w:before="12" w:after="0"/>
      <w:jc w:val="center"/>
    </w:pPr>
    <w:rPr>
      <w:rFonts w:eastAsia="Times New Roman"/>
      <w:sz w:val="22"/>
      <w:szCs w:val="22"/>
      <w:lang w:bidi="ru-RU"/>
    </w:rPr>
  </w:style>
  <w:style w:type="paragraph" w:styleId="NormalWeb">
    <w:name w:val="Normal (Web)"/>
    <w:basedOn w:val="Normal"/>
    <w:uiPriority w:val="99"/>
    <w:semiHidden/>
    <w:unhideWhenUsed/>
    <w:qFormat/>
    <w:rsid w:val="00db60fe"/>
    <w:pPr>
      <w:spacing w:beforeAutospacing="1" w:afterAutospacing="1"/>
    </w:pPr>
    <w:rPr/>
  </w:style>
  <w:style w:type="paragraph" w:styleId="12" w:customStyle="1">
    <w:name w:val="Табл_1"/>
    <w:basedOn w:val="NoSpacing"/>
    <w:link w:val="1"/>
    <w:qFormat/>
    <w:rsid w:val="00e7393a"/>
    <w:pPr>
      <w:widowControl w:val="false"/>
      <w:jc w:val="center"/>
    </w:pPr>
    <w:rPr>
      <w:rFonts w:eastAsia="Calibri"/>
      <w:sz w:val="26"/>
      <w:szCs w:val="26"/>
    </w:rPr>
  </w:style>
  <w:style w:type="paragraph" w:styleId="NoSpacing">
    <w:name w:val="No Spacing"/>
    <w:uiPriority w:val="1"/>
    <w:qFormat/>
    <w:rsid w:val="00e7393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f374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db60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2CC8-88D4-4A66-845A-20E848B0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LibreOffice/7.5.6.2$Linux_X86_64 LibreOffice_project/50$Build-2</Application>
  <AppVersion>15.0000</AppVersion>
  <Pages>7</Pages>
  <Words>1716</Words>
  <Characters>7260</Characters>
  <CharactersWithSpaces>8261</CharactersWithSpaces>
  <Paragraphs>1196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2023-07-17T11:25:00Z</dcterms:created>
  <dc:creator>Администратор</dc:creator>
  <dc:description/>
  <dc:language>ru-RU</dc:language>
  <cp:lastModifiedBy/>
  <cp:lastPrinted>2024-07-19T13:11:16Z</cp:lastPrinted>
  <dcterms:modified xsi:type="dcterms:W3CDTF">2024-07-19T13:11:44Z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