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60"/>
        <w:gridCol w:w="1741"/>
        <w:gridCol w:w="4063"/>
      </w:tblGrid>
      <w:tr w:rsidR="00765C32" w:rsidRPr="00DE7173" w:rsidTr="00765C32">
        <w:trPr>
          <w:trHeight w:val="81"/>
          <w:jc w:val="center"/>
        </w:trPr>
        <w:tc>
          <w:tcPr>
            <w:tcW w:w="4060" w:type="dxa"/>
            <w:vAlign w:val="center"/>
            <w:hideMark/>
          </w:tcPr>
          <w:p w:rsidR="00765C32" w:rsidRPr="00DE7173" w:rsidRDefault="00765C32" w:rsidP="00765C32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765C32" w:rsidRPr="00DE7173" w:rsidRDefault="00765C32" w:rsidP="00765C32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ЖИЛИЩНАЯ ИНСПЕКЦИЯ</w:t>
            </w:r>
          </w:p>
          <w:p w:rsidR="00765C32" w:rsidRPr="00DE7173" w:rsidRDefault="00765C32" w:rsidP="007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765C32" w:rsidRPr="00DE7173" w:rsidRDefault="00765C32" w:rsidP="00765C32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vAlign w:val="center"/>
            <w:hideMark/>
          </w:tcPr>
          <w:p w:rsidR="00765C32" w:rsidRPr="00DE7173" w:rsidRDefault="00765C32" w:rsidP="007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74AD29" wp14:editId="1623A96E">
                  <wp:extent cx="744992" cy="723265"/>
                  <wp:effectExtent l="0" t="0" r="0" b="63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/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44855" cy="7232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  <w:hideMark/>
          </w:tcPr>
          <w:p w:rsidR="00765C32" w:rsidRPr="00DE7173" w:rsidRDefault="00765C32" w:rsidP="00765C32">
            <w:pPr>
              <w:keepNext/>
              <w:widowControl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  <w:p w:rsidR="00765C32" w:rsidRPr="00DE7173" w:rsidRDefault="00765C32" w:rsidP="00765C32">
            <w:pPr>
              <w:spacing w:after="0" w:line="240" w:lineRule="auto"/>
              <w:ind w:left="-7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РЕСПУБЛИКАСЫНЫ</w:t>
            </w:r>
            <w:r w:rsidRPr="00DE71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DE71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ӘҮ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71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765C32" w:rsidRPr="00DE7173" w:rsidRDefault="00765C32" w:rsidP="00765C32">
            <w:pPr>
              <w:spacing w:after="0" w:line="240" w:lineRule="auto"/>
              <w:ind w:left="-7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ТОРАК  ИНСПЕКЦИЯСЕ</w:t>
            </w:r>
            <w:proofErr w:type="gramEnd"/>
          </w:p>
          <w:p w:rsidR="00765C32" w:rsidRPr="00DE7173" w:rsidRDefault="00765C32" w:rsidP="00765C32">
            <w:pPr>
              <w:spacing w:after="0" w:line="240" w:lineRule="auto"/>
              <w:ind w:left="-70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</w:tr>
      <w:tr w:rsidR="00765C32" w:rsidRPr="00DE7173" w:rsidTr="00765C32">
        <w:trPr>
          <w:trHeight w:val="81"/>
          <w:jc w:val="center"/>
        </w:trPr>
        <w:tc>
          <w:tcPr>
            <w:tcW w:w="4060" w:type="dxa"/>
            <w:vAlign w:val="center"/>
            <w:hideMark/>
          </w:tcPr>
          <w:p w:rsidR="00765C32" w:rsidRPr="00DE7173" w:rsidRDefault="00765C32" w:rsidP="007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 Красная, 15/9, г. </w:t>
            </w:r>
            <w:r w:rsidRPr="00DE71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Казан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ь,420111</w:t>
            </w:r>
          </w:p>
        </w:tc>
        <w:tc>
          <w:tcPr>
            <w:tcW w:w="1741" w:type="dxa"/>
            <w:vMerge/>
            <w:vAlign w:val="center"/>
            <w:hideMark/>
          </w:tcPr>
          <w:p w:rsidR="00765C32" w:rsidRPr="00DE7173" w:rsidRDefault="00765C32" w:rsidP="007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  <w:hideMark/>
          </w:tcPr>
          <w:p w:rsidR="00765C32" w:rsidRPr="00DE7173" w:rsidRDefault="00765C32" w:rsidP="007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Красная </w:t>
            </w:r>
            <w:proofErr w:type="spellStart"/>
            <w:proofErr w:type="gramStart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 xml:space="preserve"> 15/9, </w:t>
            </w:r>
            <w:r w:rsidRPr="00DE71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Казан ш.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, 420111</w:t>
            </w:r>
          </w:p>
        </w:tc>
      </w:tr>
      <w:tr w:rsidR="00765C32" w:rsidRPr="00DE7173" w:rsidTr="00765C32">
        <w:trPr>
          <w:trHeight w:val="119"/>
          <w:jc w:val="center"/>
        </w:trPr>
        <w:tc>
          <w:tcPr>
            <w:tcW w:w="9864" w:type="dxa"/>
            <w:gridSpan w:val="3"/>
            <w:vAlign w:val="bottom"/>
          </w:tcPr>
          <w:p w:rsidR="00765C32" w:rsidRPr="00DE7173" w:rsidRDefault="00765C32" w:rsidP="007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32" w:rsidRPr="00DE7173" w:rsidTr="00765C32">
        <w:trPr>
          <w:trHeight w:val="85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65C32" w:rsidRPr="00DE7173" w:rsidRDefault="00765C32" w:rsidP="007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 xml:space="preserve">/факс. 8 (843) 222-02-77. </w:t>
            </w:r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tatgi</w:t>
            </w:r>
            <w:proofErr w:type="spell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 xml:space="preserve">, сайт: </w:t>
            </w:r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gji</w:t>
            </w:r>
            <w:proofErr w:type="spell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tatarstan</w:t>
            </w:r>
            <w:proofErr w:type="spellEnd"/>
            <w:r w:rsidRPr="00DE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65C32" w:rsidRPr="00765C32" w:rsidRDefault="00765C32" w:rsidP="00765C32">
      <w:pPr>
        <w:spacing w:after="0" w:line="240" w:lineRule="auto"/>
        <w:ind w:left="-18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765C32" w:rsidRPr="00765C32" w:rsidRDefault="00765C32" w:rsidP="00765C32">
      <w:pPr>
        <w:spacing w:after="0" w:line="240" w:lineRule="auto"/>
        <w:ind w:left="-18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7"/>
        <w:gridCol w:w="71"/>
        <w:gridCol w:w="4790"/>
        <w:gridCol w:w="627"/>
      </w:tblGrid>
      <w:tr w:rsidR="00765C32" w:rsidRPr="00765C32" w:rsidTr="00765C32">
        <w:trPr>
          <w:gridAfter w:val="1"/>
          <w:wAfter w:w="627" w:type="dxa"/>
          <w:trHeight w:val="15"/>
          <w:jc w:val="center"/>
        </w:trPr>
        <w:tc>
          <w:tcPr>
            <w:tcW w:w="9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32" w:rsidRPr="00765C32" w:rsidRDefault="00765C32" w:rsidP="00765C32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C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№ </w:t>
            </w:r>
            <w:r w:rsidRPr="0076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765C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6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</w:tc>
      </w:tr>
      <w:tr w:rsidR="00765C32" w:rsidRPr="00765C32" w:rsidTr="00765C32">
        <w:trPr>
          <w:gridAfter w:val="1"/>
          <w:wAfter w:w="627" w:type="dxa"/>
          <w:trHeight w:val="15"/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32" w:rsidRPr="00765C32" w:rsidRDefault="00765C32" w:rsidP="00765C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C32" w:rsidRPr="00765C32" w:rsidRDefault="00765C32" w:rsidP="00765C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C32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32" w:rsidRPr="00765C32" w:rsidRDefault="00765C32" w:rsidP="00765C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32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765C32" w:rsidRPr="00765C32" w:rsidTr="00765C32">
        <w:trPr>
          <w:gridAfter w:val="1"/>
          <w:wAfter w:w="627" w:type="dxa"/>
          <w:trHeight w:val="646"/>
          <w:jc w:val="center"/>
        </w:trPr>
        <w:tc>
          <w:tcPr>
            <w:tcW w:w="9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32" w:rsidRPr="00765C32" w:rsidRDefault="00765C32" w:rsidP="00765C3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32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r w:rsidRPr="0076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765C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6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765C3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76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765C32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765C32" w:rsidRPr="00765C32" w:rsidRDefault="00765C32" w:rsidP="00765C3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66" w:rsidRPr="00EC346C" w:rsidTr="00765C3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17" w:type="dxa"/>
            <w:shd w:val="clear" w:color="auto" w:fill="auto"/>
          </w:tcPr>
          <w:p w:rsidR="00CD6E66" w:rsidRPr="003E489E" w:rsidRDefault="00CD6E66" w:rsidP="00842A86">
            <w:pPr>
              <w:pStyle w:val="ConsPlusNormal"/>
              <w:jc w:val="both"/>
              <w:rPr>
                <w:sz w:val="24"/>
                <w:szCs w:val="24"/>
              </w:rPr>
            </w:pPr>
            <w:r w:rsidRPr="0064543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изменений в </w:t>
            </w:r>
            <w:r w:rsidRPr="003E489E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у</w:t>
            </w:r>
            <w:r w:rsidRPr="003E4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оценочного</w:t>
            </w:r>
            <w:r w:rsidRPr="003E489E">
              <w:rPr>
                <w:sz w:val="24"/>
                <w:szCs w:val="24"/>
              </w:rPr>
              <w:t xml:space="preserve"> листа</w:t>
            </w:r>
            <w:r>
              <w:rPr>
                <w:sz w:val="24"/>
                <w:szCs w:val="24"/>
              </w:rPr>
              <w:t xml:space="preserve">, в соответствии с которым, Государственной жилищной инспекцией Республики Татарстан проводиться оценка соответствия лицензиата лицензионным требованиям </w:t>
            </w:r>
            <w:r w:rsidRPr="003E489E">
              <w:rPr>
                <w:sz w:val="24"/>
                <w:szCs w:val="24"/>
              </w:rPr>
              <w:t>при осуществлении предпринимательской деятельности по управлению многоквартирными домами</w:t>
            </w:r>
            <w:r w:rsidR="00714316">
              <w:rPr>
                <w:sz w:val="24"/>
                <w:szCs w:val="24"/>
              </w:rPr>
              <w:t xml:space="preserve"> для продления срока действия лицензии</w:t>
            </w:r>
            <w:r>
              <w:rPr>
                <w:sz w:val="24"/>
                <w:szCs w:val="24"/>
              </w:rPr>
              <w:t xml:space="preserve">, утвержденную приказом </w:t>
            </w:r>
            <w:r w:rsidRPr="003E489E">
              <w:rPr>
                <w:sz w:val="24"/>
                <w:szCs w:val="24"/>
              </w:rPr>
              <w:t>Государственной жилищной инспекции Республики Татарстан</w:t>
            </w:r>
            <w:r>
              <w:rPr>
                <w:sz w:val="24"/>
                <w:szCs w:val="24"/>
              </w:rPr>
              <w:t xml:space="preserve"> от 0</w:t>
            </w:r>
            <w:r w:rsidR="00714316">
              <w:rPr>
                <w:sz w:val="24"/>
                <w:szCs w:val="24"/>
              </w:rPr>
              <w:t>1</w:t>
            </w:r>
            <w:r w:rsidRPr="003E489E">
              <w:rPr>
                <w:sz w:val="24"/>
                <w:szCs w:val="24"/>
              </w:rPr>
              <w:t>.0</w:t>
            </w:r>
            <w:r w:rsidR="00714316">
              <w:rPr>
                <w:sz w:val="24"/>
                <w:szCs w:val="24"/>
              </w:rPr>
              <w:t>9</w:t>
            </w:r>
            <w:r w:rsidRPr="003E489E">
              <w:rPr>
                <w:sz w:val="24"/>
                <w:szCs w:val="24"/>
              </w:rPr>
              <w:t>.202</w:t>
            </w:r>
            <w:r w:rsidR="00714316">
              <w:rPr>
                <w:sz w:val="24"/>
                <w:szCs w:val="24"/>
              </w:rPr>
              <w:t>2</w:t>
            </w:r>
            <w:r w:rsidRPr="003E489E">
              <w:rPr>
                <w:sz w:val="24"/>
                <w:szCs w:val="24"/>
              </w:rPr>
              <w:t xml:space="preserve"> № </w:t>
            </w:r>
            <w:r w:rsidR="007143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714316">
              <w:rPr>
                <w:sz w:val="24"/>
                <w:szCs w:val="24"/>
              </w:rPr>
              <w:t>6</w:t>
            </w:r>
          </w:p>
          <w:p w:rsidR="00CD6E66" w:rsidRPr="00645435" w:rsidRDefault="00CD6E66" w:rsidP="00842A8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488" w:type="dxa"/>
            <w:gridSpan w:val="3"/>
            <w:shd w:val="clear" w:color="auto" w:fill="auto"/>
          </w:tcPr>
          <w:p w:rsidR="00CD6E66" w:rsidRPr="00645435" w:rsidRDefault="00CD6E66" w:rsidP="00842A8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CD6E66" w:rsidRDefault="00CD6E66" w:rsidP="00CD6E66">
      <w:pPr>
        <w:pStyle w:val="ConsPlusNormal"/>
        <w:ind w:firstLine="709"/>
        <w:jc w:val="both"/>
        <w:rPr>
          <w:szCs w:val="28"/>
        </w:rPr>
      </w:pPr>
      <w:r w:rsidRPr="00683B56">
        <w:rPr>
          <w:szCs w:val="28"/>
        </w:rPr>
        <w:t>В целях приведения нормативного правового акта Государственной жилищной инспекции Республики Татарстан в соответствие с законодательством приказываю:</w:t>
      </w:r>
    </w:p>
    <w:p w:rsidR="00CD6E66" w:rsidRPr="001E0D24" w:rsidRDefault="00CD6E66" w:rsidP="00CD6E66">
      <w:pPr>
        <w:pStyle w:val="ConsPlusNormal"/>
        <w:ind w:firstLine="708"/>
        <w:jc w:val="both"/>
        <w:rPr>
          <w:szCs w:val="28"/>
        </w:rPr>
      </w:pPr>
    </w:p>
    <w:p w:rsidR="00CD6E66" w:rsidRPr="00714316" w:rsidRDefault="00CD6E66" w:rsidP="00CD6E66">
      <w:pPr>
        <w:pStyle w:val="ConsPlusNormal"/>
        <w:ind w:firstLine="540"/>
        <w:jc w:val="both"/>
        <w:rPr>
          <w:szCs w:val="28"/>
        </w:rPr>
      </w:pPr>
      <w:r w:rsidRPr="00714316">
        <w:rPr>
          <w:szCs w:val="28"/>
        </w:rPr>
        <w:t>1. Утвердить прилагаемые изменения, которые вносятся в форму оценочного листа, в соответствии с которым, Государственной жилищной инспекцией Республики Татарстан проводиться оценка соответствия лицензиата лицензионным требованиям при осуществлении предпринимательской деятельности по управлению многоквартирными домами</w:t>
      </w:r>
      <w:r w:rsidR="00714316">
        <w:rPr>
          <w:szCs w:val="28"/>
        </w:rPr>
        <w:t xml:space="preserve"> для продления срока действия лицензии</w:t>
      </w:r>
      <w:r w:rsidRPr="00714316">
        <w:rPr>
          <w:szCs w:val="28"/>
        </w:rPr>
        <w:t>, утвержденную приказом Государственной жилищной инспекции Республики Татарстан от 0</w:t>
      </w:r>
      <w:r w:rsidR="00714316">
        <w:rPr>
          <w:szCs w:val="28"/>
        </w:rPr>
        <w:t>1</w:t>
      </w:r>
      <w:r w:rsidRPr="00714316">
        <w:rPr>
          <w:szCs w:val="28"/>
        </w:rPr>
        <w:t>.0</w:t>
      </w:r>
      <w:r w:rsidR="00714316">
        <w:rPr>
          <w:szCs w:val="28"/>
        </w:rPr>
        <w:t>9</w:t>
      </w:r>
      <w:r w:rsidRPr="00714316">
        <w:rPr>
          <w:szCs w:val="28"/>
        </w:rPr>
        <w:t>.202</w:t>
      </w:r>
      <w:r w:rsidR="00714316">
        <w:rPr>
          <w:szCs w:val="28"/>
        </w:rPr>
        <w:t>2</w:t>
      </w:r>
      <w:r w:rsidRPr="00714316">
        <w:rPr>
          <w:szCs w:val="28"/>
        </w:rPr>
        <w:t xml:space="preserve"> № </w:t>
      </w:r>
      <w:r w:rsidR="00714316">
        <w:rPr>
          <w:szCs w:val="28"/>
        </w:rPr>
        <w:t>1</w:t>
      </w:r>
      <w:r w:rsidRPr="00714316">
        <w:rPr>
          <w:szCs w:val="28"/>
        </w:rPr>
        <w:t>5</w:t>
      </w:r>
      <w:r w:rsidR="00714316">
        <w:rPr>
          <w:szCs w:val="28"/>
        </w:rPr>
        <w:t>6</w:t>
      </w:r>
      <w:r w:rsidRPr="00714316">
        <w:rPr>
          <w:szCs w:val="28"/>
        </w:rPr>
        <w:t>.</w:t>
      </w:r>
    </w:p>
    <w:p w:rsidR="00714316" w:rsidRPr="00714316" w:rsidRDefault="00CD6E66" w:rsidP="0071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16">
        <w:rPr>
          <w:rFonts w:ascii="Times New Roman" w:hAnsi="Times New Roman" w:cs="Times New Roman"/>
          <w:sz w:val="28"/>
          <w:szCs w:val="28"/>
        </w:rPr>
        <w:t>2. Начальнику юридического отдела настоящий приказ направить на государственную регистрацию в Министерство юстиции Республики Татарстан.</w:t>
      </w:r>
    </w:p>
    <w:p w:rsidR="00CD6E66" w:rsidRPr="00714316" w:rsidRDefault="00CD6E66" w:rsidP="0071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16">
        <w:rPr>
          <w:rFonts w:ascii="Times New Roman" w:hAnsi="Times New Roman" w:cs="Times New Roman"/>
          <w:sz w:val="28"/>
          <w:szCs w:val="28"/>
        </w:rPr>
        <w:t>3. Установить, что настоящей приказ вступает в силу с 1 сентября 2024 года.</w:t>
      </w:r>
    </w:p>
    <w:p w:rsidR="00CD6E66" w:rsidRPr="00714316" w:rsidRDefault="00CD6E66" w:rsidP="00CD6E66">
      <w:pPr>
        <w:pStyle w:val="a5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D6E66" w:rsidRPr="00714316" w:rsidRDefault="00CD6E66" w:rsidP="00CD6E66">
      <w:pPr>
        <w:pStyle w:val="ConsPlusNormal"/>
        <w:ind w:left="92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096"/>
      </w:tblGrid>
      <w:tr w:rsidR="00CD6E66" w:rsidRPr="00714316" w:rsidTr="00842A86">
        <w:tc>
          <w:tcPr>
            <w:tcW w:w="5210" w:type="dxa"/>
            <w:shd w:val="clear" w:color="auto" w:fill="auto"/>
          </w:tcPr>
          <w:p w:rsidR="00CD6E66" w:rsidRPr="00714316" w:rsidRDefault="00CD6E66" w:rsidP="00842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31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5211" w:type="dxa"/>
            <w:shd w:val="clear" w:color="auto" w:fill="auto"/>
          </w:tcPr>
          <w:p w:rsidR="00CD6E66" w:rsidRPr="00714316" w:rsidRDefault="00CD6E66" w:rsidP="00842A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4316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714316">
              <w:rPr>
                <w:rFonts w:ascii="Times New Roman" w:hAnsi="Times New Roman" w:cs="Times New Roman"/>
                <w:sz w:val="28"/>
                <w:szCs w:val="28"/>
              </w:rPr>
              <w:t>Тыгин</w:t>
            </w:r>
            <w:proofErr w:type="spellEnd"/>
          </w:p>
        </w:tc>
      </w:tr>
    </w:tbl>
    <w:p w:rsidR="00CD6E66" w:rsidRPr="000F3EF1" w:rsidRDefault="00CD6E66" w:rsidP="00CD6E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E66" w:rsidRDefault="00CD6E66" w:rsidP="00CD6E66">
      <w:pPr>
        <w:pStyle w:val="a5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CD6E66" w:rsidRDefault="00CD6E66" w:rsidP="00CD6E66">
      <w:pPr>
        <w:pStyle w:val="a5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CD6E66" w:rsidRPr="000F3EF1" w:rsidRDefault="00CD6E66" w:rsidP="00CD6E66">
      <w:pPr>
        <w:pStyle w:val="a5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t xml:space="preserve">Утверждены приказом </w:t>
      </w:r>
    </w:p>
    <w:p w:rsidR="00CD6E66" w:rsidRPr="000F3EF1" w:rsidRDefault="00CD6E66" w:rsidP="00CD6E66">
      <w:pPr>
        <w:pStyle w:val="a5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lastRenderedPageBreak/>
        <w:t>Государственной жилищной инспекции</w:t>
      </w:r>
    </w:p>
    <w:p w:rsidR="00CD6E66" w:rsidRPr="000F3EF1" w:rsidRDefault="00CD6E66" w:rsidP="00CD6E66">
      <w:pPr>
        <w:pStyle w:val="a5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t xml:space="preserve">Республики Татарстан </w:t>
      </w:r>
    </w:p>
    <w:p w:rsidR="00CD6E66" w:rsidRDefault="00CD6E66" w:rsidP="00CD6E66">
      <w:pPr>
        <w:pStyle w:val="a5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proofErr w:type="gramStart"/>
      <w:r w:rsidRPr="000F3EF1">
        <w:rPr>
          <w:sz w:val="28"/>
          <w:szCs w:val="28"/>
        </w:rPr>
        <w:t>от</w:t>
      </w:r>
      <w:proofErr w:type="gramEnd"/>
      <w:r w:rsidRPr="000F3EF1">
        <w:rPr>
          <w:sz w:val="28"/>
          <w:szCs w:val="28"/>
        </w:rPr>
        <w:t xml:space="preserve"> «___» _________ 20</w:t>
      </w:r>
      <w:r>
        <w:rPr>
          <w:sz w:val="28"/>
          <w:szCs w:val="28"/>
        </w:rPr>
        <w:t>22</w:t>
      </w:r>
      <w:r w:rsidRPr="000F3EF1">
        <w:rPr>
          <w:sz w:val="28"/>
          <w:szCs w:val="28"/>
        </w:rPr>
        <w:t xml:space="preserve">г. № ________ </w:t>
      </w:r>
    </w:p>
    <w:p w:rsidR="00CD6E66" w:rsidRPr="000F3EF1" w:rsidRDefault="00CD6E66" w:rsidP="00CD6E66">
      <w:pPr>
        <w:pStyle w:val="a5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714316">
        <w:rPr>
          <w:sz w:val="28"/>
          <w:szCs w:val="28"/>
          <w:highlight w:val="yellow"/>
        </w:rPr>
        <w:t>(</w:t>
      </w:r>
      <w:proofErr w:type="gramStart"/>
      <w:r w:rsidRPr="00714316">
        <w:rPr>
          <w:sz w:val="28"/>
          <w:szCs w:val="28"/>
          <w:highlight w:val="yellow"/>
        </w:rPr>
        <w:t>в</w:t>
      </w:r>
      <w:proofErr w:type="gramEnd"/>
      <w:r w:rsidRPr="00714316">
        <w:rPr>
          <w:sz w:val="28"/>
          <w:szCs w:val="28"/>
          <w:highlight w:val="yellow"/>
        </w:rPr>
        <w:t xml:space="preserve"> редакции приказа Государственной жилищной инспекции Республики Татарстан от «__»_______2024г № _______</w:t>
      </w:r>
    </w:p>
    <w:p w:rsidR="00CD6E66" w:rsidRPr="000F3EF1" w:rsidRDefault="00CD6E66" w:rsidP="00CD6E66">
      <w:pPr>
        <w:pStyle w:val="a5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D6E66" w:rsidRPr="000F3EF1" w:rsidRDefault="00CD6E66" w:rsidP="00CD6E66">
      <w:pPr>
        <w:pStyle w:val="a5"/>
        <w:autoSpaceDE w:val="0"/>
        <w:autoSpaceDN w:val="0"/>
        <w:adjustRightInd w:val="0"/>
        <w:ind w:left="927"/>
        <w:jc w:val="center"/>
        <w:rPr>
          <w:sz w:val="28"/>
          <w:szCs w:val="28"/>
        </w:rPr>
      </w:pPr>
      <w:r w:rsidRPr="000F3EF1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F3EF1">
        <w:rPr>
          <w:sz w:val="28"/>
          <w:szCs w:val="28"/>
        </w:rPr>
        <w:t>,</w:t>
      </w:r>
    </w:p>
    <w:p w:rsidR="00CD6E66" w:rsidRPr="001E0D24" w:rsidRDefault="00CD6E66" w:rsidP="00CD6E66">
      <w:pPr>
        <w:pStyle w:val="ConsPlusNormal"/>
        <w:jc w:val="center"/>
        <w:rPr>
          <w:szCs w:val="28"/>
        </w:rPr>
      </w:pPr>
      <w:proofErr w:type="gramStart"/>
      <w:r w:rsidRPr="000F3EF1">
        <w:rPr>
          <w:szCs w:val="28"/>
        </w:rPr>
        <w:t>котор</w:t>
      </w:r>
      <w:r>
        <w:rPr>
          <w:szCs w:val="28"/>
        </w:rPr>
        <w:t>ые</w:t>
      </w:r>
      <w:proofErr w:type="gramEnd"/>
      <w:r w:rsidRPr="000F3EF1">
        <w:rPr>
          <w:szCs w:val="28"/>
        </w:rPr>
        <w:t xml:space="preserve"> вносятся </w:t>
      </w:r>
      <w:r w:rsidRPr="00522E96">
        <w:rPr>
          <w:szCs w:val="28"/>
        </w:rPr>
        <w:t>в</w:t>
      </w:r>
      <w:r>
        <w:rPr>
          <w:szCs w:val="28"/>
        </w:rPr>
        <w:t xml:space="preserve"> </w:t>
      </w:r>
      <w:r w:rsidRPr="003E489E">
        <w:rPr>
          <w:szCs w:val="28"/>
        </w:rPr>
        <w:t>форм</w:t>
      </w:r>
      <w:r>
        <w:rPr>
          <w:szCs w:val="28"/>
        </w:rPr>
        <w:t xml:space="preserve">у </w:t>
      </w:r>
      <w:r w:rsidRPr="001E0D24">
        <w:rPr>
          <w:szCs w:val="28"/>
        </w:rPr>
        <w:t>оценочного листа, в соответствии с которым, Государственной жилищной инспекцией Республики Татарстан проводиться оценка соответствия лицензиата лицензионным требованиям при осуществлении предпринимательской деятельности по управлению многоквартирными домами</w:t>
      </w:r>
      <w:r w:rsidR="00714316">
        <w:rPr>
          <w:szCs w:val="28"/>
        </w:rPr>
        <w:t xml:space="preserve"> для продления срока действия лицензии</w:t>
      </w:r>
      <w:r w:rsidRPr="001E0D24">
        <w:rPr>
          <w:szCs w:val="28"/>
        </w:rPr>
        <w:t>, утвержденную приказом Государственной жилищной инспекции Республики Татарстан от 0</w:t>
      </w:r>
      <w:r w:rsidR="00714316">
        <w:rPr>
          <w:szCs w:val="28"/>
        </w:rPr>
        <w:t>1</w:t>
      </w:r>
      <w:r w:rsidRPr="001E0D24">
        <w:rPr>
          <w:szCs w:val="28"/>
        </w:rPr>
        <w:t>.0</w:t>
      </w:r>
      <w:r w:rsidR="00714316">
        <w:rPr>
          <w:szCs w:val="28"/>
        </w:rPr>
        <w:t>9</w:t>
      </w:r>
      <w:r w:rsidRPr="001E0D24">
        <w:rPr>
          <w:szCs w:val="28"/>
        </w:rPr>
        <w:t>.202</w:t>
      </w:r>
      <w:r w:rsidR="00714316">
        <w:rPr>
          <w:szCs w:val="28"/>
        </w:rPr>
        <w:t>2</w:t>
      </w:r>
      <w:r w:rsidRPr="001E0D24">
        <w:rPr>
          <w:szCs w:val="28"/>
        </w:rPr>
        <w:t xml:space="preserve"> № </w:t>
      </w:r>
      <w:r w:rsidR="00714316">
        <w:rPr>
          <w:szCs w:val="28"/>
        </w:rPr>
        <w:t>1</w:t>
      </w:r>
      <w:r w:rsidRPr="001E0D24">
        <w:rPr>
          <w:szCs w:val="28"/>
        </w:rPr>
        <w:t>5</w:t>
      </w:r>
      <w:r w:rsidR="00714316">
        <w:rPr>
          <w:szCs w:val="28"/>
        </w:rPr>
        <w:t>6</w:t>
      </w:r>
    </w:p>
    <w:p w:rsidR="00CD6E66" w:rsidRDefault="00CD6E66" w:rsidP="00CD6E66">
      <w:pPr>
        <w:ind w:firstLine="709"/>
        <w:jc w:val="both"/>
        <w:rPr>
          <w:sz w:val="28"/>
          <w:szCs w:val="28"/>
        </w:rPr>
      </w:pPr>
    </w:p>
    <w:p w:rsidR="00CD6E66" w:rsidRDefault="00CD6E66" w:rsidP="00CD6E6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3EF1">
        <w:rPr>
          <w:sz w:val="28"/>
          <w:szCs w:val="28"/>
        </w:rPr>
        <w:t>унк</w:t>
      </w:r>
      <w:r>
        <w:rPr>
          <w:sz w:val="28"/>
          <w:szCs w:val="28"/>
        </w:rPr>
        <w:t>т</w:t>
      </w:r>
      <w:r w:rsidRPr="000F3EF1">
        <w:rPr>
          <w:sz w:val="28"/>
          <w:szCs w:val="28"/>
        </w:rPr>
        <w:t xml:space="preserve"> </w:t>
      </w:r>
      <w:r>
        <w:rPr>
          <w:sz w:val="28"/>
          <w:szCs w:val="28"/>
        </w:rPr>
        <w:t>8 изложить в следующей редакции</w:t>
      </w:r>
      <w:r w:rsidRPr="000F3EF1">
        <w:rPr>
          <w:sz w:val="28"/>
          <w:szCs w:val="28"/>
        </w:rPr>
        <w:t>:</w:t>
      </w:r>
    </w:p>
    <w:p w:rsidR="00CD6E66" w:rsidRPr="00CD6E66" w:rsidRDefault="00CD6E66" w:rsidP="0071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>«8. Список контрольных вопросов, ответы на которые должны свидетельствовать о соответствии (несоответствии) лицензиата лицензионным требованиям:</w:t>
      </w:r>
    </w:p>
    <w:p w:rsidR="00CD6E66" w:rsidRPr="00CD6E66" w:rsidRDefault="00CD6E66" w:rsidP="00CD6E6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04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936"/>
        <w:gridCol w:w="3054"/>
        <w:gridCol w:w="294"/>
        <w:gridCol w:w="429"/>
        <w:gridCol w:w="1716"/>
        <w:gridCol w:w="1498"/>
      </w:tblGrid>
      <w:tr w:rsidR="00CD6E66" w:rsidRPr="00CD6E66" w:rsidTr="00A4538A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Контрольные вопросы, отражающие содержание лицензионных требований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нормативных правовых актов с указанием их структурных единиц, содержащих лицензионные требования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на вопросы о соответствии (несоответствии) лицензионным требованиям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D6E66" w:rsidRPr="00CD6E66" w:rsidTr="00A4538A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66" w:rsidRPr="00CD6E66" w:rsidRDefault="00CD6E66" w:rsidP="00CD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66" w:rsidRPr="00CD6E66" w:rsidRDefault="00CD6E66" w:rsidP="00CD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66" w:rsidRPr="00CD6E66" w:rsidRDefault="00CD6E66" w:rsidP="00CD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  <w:proofErr w:type="gramEnd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 ли срок подачи заявления о продлении срока действия лицензии?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7143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17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утвержденного </w:t>
            </w:r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постановлением Правительства Российской Федерации от 28 октября 2014 г. </w:t>
            </w:r>
            <w:r w:rsidR="0071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1110 (далее - Положение о лицензировании предпринимательской деятельности по управлению многоквартирными домами)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ли регистрация лицензиата в качестве юридического лица или индивидуального предпринимателя на территории Российской Федерации?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1 части 1 статьи 193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 (далее - ЖК РФ)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ли тождественность или схожесть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1</w:t>
              </w:r>
              <w:r w:rsidR="00CD6E66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части 1 статьи 193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ли у должностного лица (единоличного исполнительного органа юридического лица, руководителя юридического лица или его филиала либо индивидуального 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 квалификационный аттестат?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2 части 1 статьи 193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A4538A" w:rsidP="00A4538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3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ли у должностного лица и (или) учредителя (участника) </w:t>
            </w:r>
            <w:proofErr w:type="gramStart"/>
            <w:r w:rsidRPr="00A4538A">
              <w:rPr>
                <w:rFonts w:ascii="Times New Roman" w:hAnsi="Times New Roman" w:cs="Times New Roman"/>
                <w:sz w:val="28"/>
                <w:szCs w:val="28"/>
              </w:rPr>
              <w:t>лицензиата,  неснятая</w:t>
            </w:r>
            <w:proofErr w:type="gramEnd"/>
            <w:r w:rsidRPr="00A4538A">
              <w:rPr>
                <w:rFonts w:ascii="Times New Roman" w:hAnsi="Times New Roman" w:cs="Times New Roman"/>
                <w:sz w:val="28"/>
                <w:szCs w:val="28"/>
              </w:rPr>
              <w:t xml:space="preserve"> или непогашенная судимость за преступления в сфере экономики, за преступления средней тяжести, тяжкие и особо тяжкие преступления?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3 части 1 статьи 193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A4538A" w:rsidP="00A4538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3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ли 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</w:t>
            </w:r>
            <w:r w:rsidRPr="00A4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лицензиата, лицензия которого аннулирована и доля в уставном капитале которого превышала пятьдесят процентов, а также лиц, в том числе являвшихся учредителями (участниками) лицензиата, доля в уставном капитале которого превышала пятьдесят процентов,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должностном лице лицензиата</w:t>
            </w:r>
            <w:r w:rsidRPr="00A453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4 части 1 статьи 193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ли в сводном федеральном реестре лицензий на осуществление 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предпринимательской деятельности по управлению многоквартирными домами информация об аннулировании лицензии, ранее предоставленной лицензиату?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5 части 1 статьи 193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7143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Соблюдаются ли лицензиатом требования к размещению информации, установленные </w:t>
            </w:r>
            <w:hyperlink r:id="rId14" w:history="1">
              <w:r w:rsidR="0071431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частью 10</w:t>
              </w:r>
              <w:r w:rsidR="00714316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  <w:r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статьи 161</w:t>
              </w:r>
            </w:hyperlink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7143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71431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6</w:t>
              </w:r>
              <w:r w:rsidR="00714316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части 1 статьи 193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A4538A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902098" w:rsidRDefault="00A4538A" w:rsidP="00A4538A">
            <w:pPr>
              <w:pStyle w:val="a3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02098">
              <w:rPr>
                <w:sz w:val="28"/>
                <w:szCs w:val="28"/>
              </w:rPr>
              <w:t>Отсутствует ли привлечение к административной ответственности лицензиата за грубое нарушение лицензионных требований в течение трех лет, предшествующих дате получения лицензии, дате продления срока ее действия?</w:t>
            </w:r>
          </w:p>
          <w:p w:rsidR="00A4538A" w:rsidRPr="00CD6E66" w:rsidRDefault="00A4538A" w:rsidP="007143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A4538A" w:rsidRDefault="00A4538A" w:rsidP="007143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38A">
              <w:rPr>
                <w:rFonts w:ascii="Times New Roman" w:hAnsi="Times New Roman" w:cs="Times New Roman"/>
                <w:sz w:val="28"/>
                <w:szCs w:val="28"/>
              </w:rPr>
              <w:t>Пункт 6</w:t>
            </w:r>
            <w:r w:rsidRPr="00A453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4538A">
              <w:rPr>
                <w:rFonts w:ascii="Times New Roman" w:hAnsi="Times New Roman" w:cs="Times New Roman"/>
                <w:sz w:val="28"/>
                <w:szCs w:val="28"/>
              </w:rPr>
              <w:t xml:space="preserve"> части 1 статьи 193</w:t>
            </w:r>
            <w:r w:rsidRPr="00A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38A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Default="00A4538A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5520BD" w:rsidP="007143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0BD">
              <w:rPr>
                <w:rFonts w:ascii="Times New Roman" w:hAnsi="Times New Roman" w:cs="Times New Roman"/>
                <w:sz w:val="28"/>
                <w:szCs w:val="28"/>
              </w:rPr>
              <w:t>Отсутствуют ли в</w:t>
            </w:r>
            <w:r w:rsidRPr="00902098">
              <w:rPr>
                <w:sz w:val="28"/>
                <w:szCs w:val="28"/>
              </w:rPr>
              <w:t xml:space="preserve"> </w:t>
            </w:r>
            <w:r w:rsidRPr="005520BD">
              <w:rPr>
                <w:rFonts w:ascii="Times New Roman" w:hAnsi="Times New Roman" w:cs="Times New Roman"/>
                <w:sz w:val="28"/>
                <w:szCs w:val="28"/>
              </w:rPr>
              <w:t xml:space="preserve">Едином федеральном реестре сведения о банкротстве информации о банкротстве юридического лица, которое осуществляло деятельность по управлению многоквартирными домами и </w:t>
            </w:r>
            <w:r w:rsidRPr="00552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должностными лицами и (или) учредителями которого являлись должностные лица и (или) учредители соискателя лицензии, в течение трех лет, предшествующих дате обращения за лицензией такого соискателя лицензии?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5520BD" w:rsidRDefault="005520BD" w:rsidP="007143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6</w:t>
            </w:r>
            <w:r w:rsidRPr="005520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20BD">
              <w:rPr>
                <w:rFonts w:ascii="Times New Roman" w:hAnsi="Times New Roman" w:cs="Times New Roman"/>
                <w:sz w:val="28"/>
                <w:szCs w:val="28"/>
              </w:rPr>
              <w:t xml:space="preserve"> части 1 статьи 193 Жилищного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8A" w:rsidRPr="00CD6E66" w:rsidRDefault="00A4538A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A4538A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Заключены ли в течение 30 календарных дней со дня начала исполнения договора правления многоквартирным домом договоры: </w:t>
            </w:r>
          </w:p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выполнении работ в целях надлежащего содержания систем внутридомового газового оборудования в соответствии с требованиями, установленными </w:t>
            </w:r>
            <w:hyperlink r:id="rId16" w:history="1">
              <w:r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Правилами</w:t>
              </w:r>
            </w:hyperlink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</w:t>
            </w:r>
            <w:r w:rsidR="00A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410 </w:t>
            </w:r>
            <w:r w:rsidR="0055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обеспечению 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при использовании и содержании внутридомового и внутриквартирного газового оборудования</w:t>
            </w:r>
            <w:r w:rsidR="0055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выполнении работ по эксплуатации, в том числе по обслуживанию и ремонту лифтов, подъемных платформ для инвалидов в соответствии с требованиями, установленными </w:t>
            </w:r>
            <w:r w:rsidR="005520BD" w:rsidRPr="005520BD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утвержденными постановлением Правительства Российской Федерации от 20 октября 2023 г. № 1744 «Об организации безопасного использования и содержания лифтов, подъемных платформ для инвалидов, пассажирских конвейеров (движущихся </w:t>
            </w:r>
            <w:r w:rsidR="005520BD" w:rsidRPr="00552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пешеходных дорожек) и эскалаторов, за исключением эскалаторов в метрополитенах»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Правила), за исключением случая выполнения работ по эксплуатации, в том числе по обслуживанию и ремонту лифтов, подъемных платформ для инвалидов, управляющими организациями самостоятельно в соответствии с требованиями, установленными Правилами?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A4538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A453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 «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</w:t>
              </w:r>
              <w:r w:rsidR="00A453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пункта 4.1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лицензировании предпринимательской деятельности по управлению многоквартирными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Заключены ли лицензиатом в течение 30 календарных дней со дня начала исполнения договора управления многоквартирным домом договоры с </w:t>
            </w:r>
            <w:proofErr w:type="spellStart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ресурсоснабжающими</w:t>
            </w:r>
            <w:proofErr w:type="spellEnd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 в целях приобретения коммунальных ресурсов, потребляемых при использовании и содержании общего имущества в многоквартирном доме?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5520B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Подпункт </w:t>
              </w:r>
              <w:r w:rsidR="005520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</w:t>
              </w:r>
              <w:r w:rsidR="005520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пункта 4.1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лицензировании предпринимательской деятельности по управлению многоквартирными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ли у лицензиата признанные им или подтвержденные вступившим в законную силу судебным актом </w:t>
            </w: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задолженности перед </w:t>
            </w:r>
            <w:proofErr w:type="spellStart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в размере, равном или превышающем 2 среднемесячные величины обязательств по оплате по договору </w:t>
            </w:r>
            <w:proofErr w:type="spellStart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ресурсоснабжения</w:t>
            </w:r>
            <w:proofErr w:type="spellEnd"/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(или) приобретения коммунальных ресурсов, потребляемых при использовании и содержании общего имущества в многоквартирном доме, независимо от факта последующей оплаты указанной задолженности лицензиатом?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 «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</w:t>
              </w:r>
              <w:r w:rsid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пункта 4.1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лицензировании предпринимательской деятельности по управлению </w:t>
            </w:r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многоквартирными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6E66" w:rsidRPr="00CD6E66" w:rsidTr="00A4538A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12.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ли неисполненные предписания об устранении грубых нарушений лицензионных требований, срок исполнения которых истек на дату проведения данной проверки?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66042C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CD6E66" w:rsidRPr="00CD6E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17</w:t>
              </w:r>
            </w:hyperlink>
            <w:r w:rsidR="00CD6E66"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лицензировании предпринимательской деятельности по управлению многоквартирными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66" w:rsidRPr="00CD6E66" w:rsidRDefault="00CD6E66" w:rsidP="00CD6E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CD6E66" w:rsidRPr="00CD6E66" w:rsidRDefault="00CD6E66" w:rsidP="00CD6E6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D6E66" w:rsidRPr="00CD6E66" w:rsidRDefault="00CD6E66" w:rsidP="00CD6E6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Установлено (подчеркнуть нужное) соблюдение, несоблюдение срока подачи заявления о продлении срока действия лицензии; (подчеркнуть нужное) соответствие, несоответствие лицензиата лицензионным требованиям, предусмотренным, </w:t>
      </w:r>
      <w:hyperlink r:id="rId21" w:history="1">
        <w:hyperlink r:id="rId22" w:history="1">
          <w:r w:rsidRPr="00CD6E6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пунктами 1</w:t>
          </w:r>
        </w:hyperlink>
        <w:r w:rsidRPr="00CD6E66">
          <w:rPr>
            <w:rFonts w:ascii="Times New Roman" w:hAnsi="Times New Roman" w:cs="Times New Roman"/>
            <w:sz w:val="28"/>
            <w:szCs w:val="28"/>
          </w:rPr>
          <w:t xml:space="preserve"> - </w:t>
        </w:r>
        <w:hyperlink r:id="rId23" w:history="1">
          <w:r w:rsidRPr="00CD6E6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5</w:t>
          </w:r>
        </w:hyperlink>
        <w:r w:rsidRPr="00CD6E66">
          <w:rPr>
            <w:rFonts w:ascii="Times New Roman" w:hAnsi="Times New Roman" w:cs="Times New Roman"/>
            <w:sz w:val="28"/>
            <w:szCs w:val="28"/>
          </w:rPr>
          <w:t xml:space="preserve">, </w:t>
        </w:r>
        <w:hyperlink r:id="rId24" w:history="1">
          <w:r w:rsidRPr="00CD6E6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6</w:t>
          </w:r>
          <w:r w:rsidRPr="00CD6E6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  <w:vertAlign w:val="superscript"/>
            </w:rPr>
            <w:t xml:space="preserve">1 </w:t>
          </w:r>
          <w:r w:rsidRPr="00CD6E6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- 6</w:t>
          </w:r>
          <w:r w:rsidRPr="00CD6E6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  <w:vertAlign w:val="superscript"/>
            </w:rPr>
            <w:t>3</w:t>
          </w:r>
          <w:r w:rsidRPr="00CD6E6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 xml:space="preserve"> </w:t>
          </w:r>
        </w:hyperlink>
      </w:hyperlink>
      <w:hyperlink r:id="rId25" w:history="1">
        <w:r w:rsidRPr="00CD6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193</w:t>
        </w:r>
      </w:hyperlink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РФ; (подчеркнуть нужное) отсутствие, наличие грубых нарушений лицензиатом лицензионных требований, предусмотренных </w:t>
      </w:r>
      <w:hyperlink r:id="rId26" w:history="1">
        <w:r w:rsidRPr="00CD6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подпунктами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CD6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CD6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CD6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4.1</w:t>
        </w:r>
      </w:hyperlink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лицензировании предпринимательской деятельности по управлению многоквартирными домами; (подчеркнуть нужное) исполнение, неисполнение предписаний об устранении грубых нарушений лицензионных требований, срок исполнения которых истек на дату проведения указанной проверки.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375" w:rsidRPr="00CD6E66" w:rsidRDefault="00503375">
      <w:pPr>
        <w:rPr>
          <w:rFonts w:ascii="Times New Roman" w:hAnsi="Times New Roman" w:cs="Times New Roman"/>
          <w:sz w:val="28"/>
          <w:szCs w:val="28"/>
        </w:rPr>
      </w:pPr>
    </w:p>
    <w:sectPr w:rsidR="00503375" w:rsidRPr="00CD6E66" w:rsidSect="001967A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2C" w:rsidRDefault="0066042C" w:rsidP="001967A2">
      <w:pPr>
        <w:spacing w:after="0" w:line="240" w:lineRule="auto"/>
      </w:pPr>
      <w:r>
        <w:separator/>
      </w:r>
    </w:p>
  </w:endnote>
  <w:endnote w:type="continuationSeparator" w:id="0">
    <w:p w:rsidR="0066042C" w:rsidRDefault="0066042C" w:rsidP="0019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2" w:rsidRDefault="001967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2" w:rsidRDefault="001967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2" w:rsidRDefault="001967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2C" w:rsidRDefault="0066042C" w:rsidP="001967A2">
      <w:pPr>
        <w:spacing w:after="0" w:line="240" w:lineRule="auto"/>
      </w:pPr>
      <w:r>
        <w:separator/>
      </w:r>
    </w:p>
  </w:footnote>
  <w:footnote w:type="continuationSeparator" w:id="0">
    <w:p w:rsidR="0066042C" w:rsidRDefault="0066042C" w:rsidP="0019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2" w:rsidRDefault="001967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982929"/>
      <w:docPartObj>
        <w:docPartGallery w:val="Page Numbers (Top of Page)"/>
        <w:docPartUnique/>
      </w:docPartObj>
    </w:sdtPr>
    <w:sdtEndPr/>
    <w:sdtContent>
      <w:p w:rsidR="001967A2" w:rsidRDefault="001967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73">
          <w:rPr>
            <w:noProof/>
          </w:rPr>
          <w:t>11</w:t>
        </w:r>
        <w:r>
          <w:fldChar w:fldCharType="end"/>
        </w:r>
      </w:p>
    </w:sdtContent>
  </w:sdt>
  <w:p w:rsidR="001967A2" w:rsidRDefault="001967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2" w:rsidRDefault="001967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66"/>
    <w:rsid w:val="001967A2"/>
    <w:rsid w:val="00503375"/>
    <w:rsid w:val="005520BD"/>
    <w:rsid w:val="00564B84"/>
    <w:rsid w:val="0066042C"/>
    <w:rsid w:val="00714316"/>
    <w:rsid w:val="00765C32"/>
    <w:rsid w:val="00A4538A"/>
    <w:rsid w:val="00CD6E66"/>
    <w:rsid w:val="00D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08B0-15D7-4523-8DC4-7A336B02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E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6E66"/>
    <w:rPr>
      <w:color w:val="0000FF"/>
      <w:u w:val="single"/>
    </w:rPr>
  </w:style>
  <w:style w:type="paragraph" w:customStyle="1" w:styleId="ConsPlusNormal">
    <w:name w:val="ConsPlusNormal"/>
    <w:link w:val="ConsPlusNormal0"/>
    <w:rsid w:val="00CD6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6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6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9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67A2"/>
  </w:style>
  <w:style w:type="paragraph" w:styleId="a8">
    <w:name w:val="footer"/>
    <w:basedOn w:val="a"/>
    <w:link w:val="a9"/>
    <w:uiPriority w:val="99"/>
    <w:unhideWhenUsed/>
    <w:rsid w:val="0019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854&amp;dst=935&amp;field=134&amp;date=11.07.2024" TargetMode="External"/><Relationship Id="rId18" Type="http://schemas.openxmlformats.org/officeDocument/2006/relationships/hyperlink" Target="https://login.consultant.ru/link/?req=doc&amp;base=LAW&amp;n=465380&amp;dst=14&amp;field=134&amp;date=11.07.2024" TargetMode="External"/><Relationship Id="rId26" Type="http://schemas.openxmlformats.org/officeDocument/2006/relationships/hyperlink" Target="https://login.consultant.ru/link/?req=doc&amp;base=LAW&amp;n=465380&amp;dst=13&amp;field=134&amp;date=11.07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854&amp;dst=461&amp;field=134&amp;date=11.07.20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5380&amp;dst=25&amp;field=134&amp;date=11.07.2024" TargetMode="External"/><Relationship Id="rId12" Type="http://schemas.openxmlformats.org/officeDocument/2006/relationships/hyperlink" Target="https://login.consultant.ru/link/?req=doc&amp;base=LAW&amp;n=466854&amp;dst=464&amp;field=134&amp;date=11.07.2024" TargetMode="External"/><Relationship Id="rId17" Type="http://schemas.openxmlformats.org/officeDocument/2006/relationships/hyperlink" Target="https://login.consultant.ru/link/?req=doc&amp;base=LAW&amp;n=465380&amp;dst=13&amp;field=134&amp;date=11.07.2024" TargetMode="External"/><Relationship Id="rId25" Type="http://schemas.openxmlformats.org/officeDocument/2006/relationships/hyperlink" Target="https://login.consultant.ru/link/?req=doc&amp;base=LAW&amp;n=466854&amp;dst=664&amp;field=134&amp;date=11.07.2024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8436&amp;dst=100018&amp;field=134&amp;date=11.07.2024" TargetMode="External"/><Relationship Id="rId20" Type="http://schemas.openxmlformats.org/officeDocument/2006/relationships/hyperlink" Target="https://login.consultant.ru/link/?req=doc&amp;base=LAW&amp;n=465380&amp;dst=25&amp;field=134&amp;date=11.07.202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66854&amp;dst=463&amp;field=134&amp;date=11.07.2024" TargetMode="External"/><Relationship Id="rId24" Type="http://schemas.openxmlformats.org/officeDocument/2006/relationships/hyperlink" Target="https://login.consultant.ru/link/?req=doc&amp;base=LAW&amp;n=466854&amp;dst=664&amp;field=134&amp;date=10.07.2024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854&amp;dst=664&amp;field=134&amp;date=11.07.2024" TargetMode="External"/><Relationship Id="rId23" Type="http://schemas.openxmlformats.org/officeDocument/2006/relationships/hyperlink" Target="https://login.consultant.ru/link/?req=doc&amp;base=LAW&amp;n=466854&amp;dst=935&amp;field=134&amp;date=10.07.202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854&amp;dst=101686&amp;field=134&amp;date=11.07.2024" TargetMode="External"/><Relationship Id="rId19" Type="http://schemas.openxmlformats.org/officeDocument/2006/relationships/hyperlink" Target="https://login.consultant.ru/link/?req=doc&amp;base=LAW&amp;n=465380&amp;dst=15&amp;field=134&amp;date=11.07.202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854&amp;dst=716&amp;field=134&amp;date=11.07.2024" TargetMode="External"/><Relationship Id="rId14" Type="http://schemas.openxmlformats.org/officeDocument/2006/relationships/hyperlink" Target="https://login.consultant.ru/link/?req=doc&amp;base=LAW&amp;n=466854&amp;dst=660&amp;field=134&amp;date=11.07.2024" TargetMode="External"/><Relationship Id="rId22" Type="http://schemas.openxmlformats.org/officeDocument/2006/relationships/hyperlink" Target="https://login.consultant.ru/link/?req=doc&amp;base=LAW&amp;n=466854&amp;dst=461&amp;field=134&amp;date=10.07.2024" TargetMode="External"/><Relationship Id="rId27" Type="http://schemas.openxmlformats.org/officeDocument/2006/relationships/hyperlink" Target="https://login.consultant.ru/link/?req=doc&amp;base=LAW&amp;n=465380&amp;dst=15&amp;field=134&amp;date=11.07.202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6854&amp;dst=461&amp;field=134&amp;date=11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5</cp:revision>
  <dcterms:created xsi:type="dcterms:W3CDTF">2024-07-11T07:19:00Z</dcterms:created>
  <dcterms:modified xsi:type="dcterms:W3CDTF">2024-07-11T09:07:00Z</dcterms:modified>
</cp:coreProperties>
</file>