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66" w:rsidRPr="00C043F7" w:rsidRDefault="00CC2666" w:rsidP="00CC2666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CC2666" w:rsidRPr="00C043F7" w:rsidRDefault="00CC2666" w:rsidP="00CC2666">
      <w:pPr>
        <w:jc w:val="right"/>
        <w:rPr>
          <w:sz w:val="24"/>
          <w:szCs w:val="24"/>
        </w:rPr>
      </w:pPr>
    </w:p>
    <w:p w:rsidR="00CC2666" w:rsidRPr="00C043F7" w:rsidRDefault="00CC2666" w:rsidP="00CC2666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CC2666" w:rsidRPr="00C043F7" w:rsidRDefault="00CC2666" w:rsidP="00CC2666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CC2666" w:rsidRPr="00C043F7" w:rsidRDefault="00CC2666" w:rsidP="00CC2666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CC2666" w:rsidRPr="00C043F7" w:rsidRDefault="00CC2666" w:rsidP="00CC266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CC2666" w:rsidRPr="00C043F7" w:rsidRDefault="00CC2666" w:rsidP="00CC266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CC2666" w:rsidRPr="00C043F7" w:rsidRDefault="00CC2666" w:rsidP="00CC2666">
      <w:pPr>
        <w:jc w:val="center"/>
        <w:rPr>
          <w:szCs w:val="28"/>
        </w:rPr>
      </w:pPr>
    </w:p>
    <w:p w:rsidR="00CC2666" w:rsidRPr="00C043F7" w:rsidRDefault="00CC2666" w:rsidP="00CC2666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Pr="00A3332B" w:rsidRDefault="00CC2666" w:rsidP="009A775A">
            <w:pPr>
              <w:jc w:val="both"/>
              <w:rPr>
                <w:szCs w:val="28"/>
              </w:rPr>
            </w:pPr>
            <w:proofErr w:type="gramStart"/>
            <w:r w:rsidRPr="008349D9">
              <w:t>О корректировке на 2017 год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2015-2019 годы, установленных постановлением Государственного комитета Республики Татарстан по тарифам от 10.12.2014</w:t>
            </w:r>
            <w:r w:rsidRPr="008349D9">
              <w:br/>
              <w:t>№ 3-11/э «Об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2015-2019 годы»</w:t>
            </w:r>
            <w:proofErr w:type="gramEnd"/>
          </w:p>
        </w:tc>
      </w:tr>
    </w:tbl>
    <w:p w:rsidR="00815A44" w:rsidRDefault="00815A44" w:rsidP="00511A39">
      <w:pPr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841685">
        <w:fldChar w:fldCharType="begin"/>
      </w:r>
      <w:r w:rsidR="00841685">
        <w:instrText xml:space="preserve"> HYPERLINK "consultantplus://offline/ref=D07BD0FF69BCFBA293D10BF8A6BEC3114DDE01A1F89</w:instrText>
      </w:r>
      <w:r w:rsidR="00841685">
        <w:instrText xml:space="preserve">33512891A1F4EC0E8T7K" </w:instrText>
      </w:r>
      <w:r w:rsidR="00841685">
        <w:fldChar w:fldCharType="separate"/>
      </w:r>
      <w:r>
        <w:rPr>
          <w:szCs w:val="28"/>
        </w:rPr>
        <w:t>остановлением</w:t>
      </w:r>
      <w:r w:rsidR="0084168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</w:t>
      </w:r>
      <w:r w:rsidR="004C74FA">
        <w:rPr>
          <w:szCs w:val="28"/>
        </w:rPr>
        <w:t xml:space="preserve">ой Федерации от 29 декабря 2011 </w:t>
      </w:r>
      <w:r w:rsidRPr="008B17A6">
        <w:rPr>
          <w:szCs w:val="28"/>
        </w:rPr>
        <w:t>г</w:t>
      </w:r>
      <w:r w:rsidR="004C74FA">
        <w:rPr>
          <w:szCs w:val="28"/>
        </w:rPr>
        <w:t>.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</w:t>
      </w:r>
      <w:r w:rsidR="004C74FA">
        <w:rPr>
          <w:szCs w:val="28"/>
        </w:rPr>
        <w:t xml:space="preserve">. </w:t>
      </w:r>
      <w:r>
        <w:rPr>
          <w:szCs w:val="28"/>
        </w:rPr>
        <w:t>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</w:t>
      </w:r>
      <w:r w:rsidR="004C74FA">
        <w:rPr>
          <w:szCs w:val="28"/>
        </w:rPr>
        <w:t>ода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>.06.2010</w:t>
      </w:r>
      <w:r w:rsidR="004C74FA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</w:t>
      </w:r>
      <w:r w:rsidR="00CC2666">
        <w:rPr>
          <w:szCs w:val="28"/>
        </w:rPr>
        <w:t xml:space="preserve">, </w:t>
      </w:r>
      <w:r w:rsidR="00455443">
        <w:rPr>
          <w:szCs w:val="28"/>
        </w:rPr>
        <w:t xml:space="preserve">в целях корректировки </w:t>
      </w:r>
      <w:r w:rsidR="00CC2666">
        <w:rPr>
          <w:szCs w:val="28"/>
        </w:rPr>
        <w:t>долгосрочных индивидуальных тарифов на услуги по передаче электрической</w:t>
      </w:r>
      <w:proofErr w:type="gramEnd"/>
      <w:r w:rsidR="00CC2666">
        <w:rPr>
          <w:szCs w:val="28"/>
        </w:rPr>
        <w:t xml:space="preserve"> энергии для взаиморасчетов между сетевыми организациями на территории Республики Татарстан</w:t>
      </w:r>
      <w:r w:rsidR="00CC2666" w:rsidRPr="008B17A6">
        <w:rPr>
          <w:szCs w:val="28"/>
        </w:rPr>
        <w:t>,</w:t>
      </w:r>
      <w:r w:rsidR="00CC2666">
        <w:rPr>
          <w:szCs w:val="28"/>
        </w:rPr>
        <w:t xml:space="preserve"> уточнив плановую необходимую валовую выручку регулируемых организаций на 2017 год, </w:t>
      </w:r>
      <w:r w:rsidRPr="008B17A6">
        <w:rPr>
          <w:szCs w:val="28"/>
        </w:rPr>
        <w:t>Государственный комитет Республики Татарстан по тарифам ПОСТАНОВЛЯЕТ:</w:t>
      </w:r>
    </w:p>
    <w:p w:rsidR="00D4385D" w:rsidRDefault="002A67E2" w:rsidP="00D4385D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proofErr w:type="gramStart"/>
      <w:r w:rsidR="00C93E45">
        <w:rPr>
          <w:szCs w:val="28"/>
        </w:rPr>
        <w:t>Внести</w:t>
      </w:r>
      <w:r w:rsidR="00C93E45" w:rsidRPr="00C93E45">
        <w:rPr>
          <w:szCs w:val="28"/>
        </w:rPr>
        <w:t xml:space="preserve"> </w:t>
      </w:r>
      <w:r w:rsidR="00D4385D">
        <w:rPr>
          <w:szCs w:val="28"/>
        </w:rPr>
        <w:t>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Государственного комитета Республики Татарстан по тарифам от </w:t>
      </w:r>
      <w:r w:rsidR="00DB327A">
        <w:rPr>
          <w:bCs/>
          <w:szCs w:val="28"/>
        </w:rPr>
        <w:t>10</w:t>
      </w:r>
      <w:r w:rsidR="00D4385D" w:rsidRPr="00D4385D">
        <w:rPr>
          <w:bCs/>
          <w:szCs w:val="28"/>
        </w:rPr>
        <w:t>.12.2014</w:t>
      </w:r>
      <w:r w:rsidR="004C74FA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№</w:t>
      </w:r>
      <w:r w:rsidR="006E6557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3-</w:t>
      </w:r>
      <w:r w:rsidR="00DB327A">
        <w:rPr>
          <w:bCs/>
          <w:szCs w:val="28"/>
        </w:rPr>
        <w:t>1</w:t>
      </w:r>
      <w:r w:rsidR="009A775A">
        <w:rPr>
          <w:bCs/>
          <w:szCs w:val="28"/>
        </w:rPr>
        <w:t>1</w:t>
      </w:r>
      <w:r w:rsidR="00D4385D" w:rsidRPr="00D4385D">
        <w:rPr>
          <w:bCs/>
          <w:szCs w:val="28"/>
        </w:rPr>
        <w:t xml:space="preserve">/э «Об установлении индивидуальных тарифов </w:t>
      </w:r>
      <w:r w:rsidR="00D4385D">
        <w:rPr>
          <w:bCs/>
          <w:szCs w:val="28"/>
        </w:rPr>
        <w:t>н</w:t>
      </w:r>
      <w:r w:rsidR="00D4385D" w:rsidRPr="00D4385D">
        <w:rPr>
          <w:bCs/>
          <w:szCs w:val="28"/>
        </w:rPr>
        <w:t>а услуги по передаче</w:t>
      </w:r>
      <w:r w:rsidR="00D4385D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электрической энергии для взаиморасчетов между сетевыми </w:t>
      </w:r>
      <w:r w:rsidR="00D4385D" w:rsidRPr="00D4385D">
        <w:rPr>
          <w:bCs/>
          <w:szCs w:val="28"/>
        </w:rPr>
        <w:lastRenderedPageBreak/>
        <w:t>организациями</w:t>
      </w:r>
      <w:r w:rsidR="00EC1EE3">
        <w:rPr>
          <w:bCs/>
          <w:szCs w:val="28"/>
        </w:rPr>
        <w:t xml:space="preserve"> на территории Республики Татарстан </w:t>
      </w:r>
      <w:r w:rsidR="00EC1EE3" w:rsidRPr="00815A44">
        <w:rPr>
          <w:bCs/>
          <w:szCs w:val="28"/>
        </w:rPr>
        <w:t>на 2015-201</w:t>
      </w:r>
      <w:r w:rsidR="00EC1EE3" w:rsidRPr="009A775A">
        <w:rPr>
          <w:bCs/>
          <w:szCs w:val="28"/>
        </w:rPr>
        <w:t>9</w:t>
      </w:r>
      <w:r w:rsidR="00EC1EE3" w:rsidRPr="00815A44">
        <w:rPr>
          <w:bCs/>
          <w:szCs w:val="28"/>
        </w:rPr>
        <w:t xml:space="preserve"> годы</w:t>
      </w:r>
      <w:r w:rsidR="00D4385D" w:rsidRPr="00D4385D">
        <w:rPr>
          <w:bCs/>
          <w:szCs w:val="28"/>
        </w:rPr>
        <w:t>»</w:t>
      </w:r>
      <w:r w:rsidR="00D4385D">
        <w:rPr>
          <w:bCs/>
          <w:szCs w:val="28"/>
        </w:rPr>
        <w:t xml:space="preserve"> </w:t>
      </w:r>
      <w:r w:rsidR="000417D5" w:rsidRPr="000417D5">
        <w:rPr>
          <w:bCs/>
          <w:szCs w:val="28"/>
        </w:rPr>
        <w:t>(</w:t>
      </w:r>
      <w:r w:rsidR="000417D5">
        <w:rPr>
          <w:bCs/>
          <w:szCs w:val="28"/>
        </w:rPr>
        <w:t>с изменениями, внесенными постановлениями Государственного комитета Республики Татарстан по тарифам от 08.06.2015 № 3-6/э, от 10.12.2015 № 3-12/э</w:t>
      </w:r>
      <w:r w:rsidR="000417D5" w:rsidRPr="000417D5">
        <w:rPr>
          <w:bCs/>
          <w:szCs w:val="28"/>
        </w:rPr>
        <w:t xml:space="preserve">) </w:t>
      </w:r>
      <w:r w:rsidR="00D4385D">
        <w:rPr>
          <w:bCs/>
          <w:szCs w:val="28"/>
        </w:rPr>
        <w:t>следующие</w:t>
      </w:r>
      <w:r w:rsidR="00D4385D">
        <w:rPr>
          <w:szCs w:val="28"/>
        </w:rPr>
        <w:t xml:space="preserve"> изменения:</w:t>
      </w:r>
      <w:proofErr w:type="gramEnd"/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1 изложить в новой редакции согласно приложению 1 к настоящему постановлению;</w:t>
      </w:r>
    </w:p>
    <w:p w:rsidR="00D366EE" w:rsidRPr="00935947" w:rsidRDefault="00D4385D" w:rsidP="00D26BA0">
      <w:pPr>
        <w:ind w:firstLine="709"/>
        <w:jc w:val="both"/>
        <w:rPr>
          <w:szCs w:val="28"/>
        </w:rPr>
      </w:pPr>
      <w:r>
        <w:rPr>
          <w:szCs w:val="28"/>
        </w:rPr>
        <w:t>приложение 3 изложить в новой редакции согласно приложен</w:t>
      </w:r>
      <w:r w:rsidR="00077C75">
        <w:rPr>
          <w:szCs w:val="28"/>
        </w:rPr>
        <w:t>ию 2 к настоящему постановлению.</w:t>
      </w:r>
    </w:p>
    <w:p w:rsidR="00B962CE" w:rsidRDefault="00D4385D" w:rsidP="00B962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2A67E2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</w:t>
      </w:r>
      <w:r w:rsidR="00F61465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206B92" w:rsidRPr="0098517D" w:rsidRDefault="00206B92" w:rsidP="00B962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376B12" w:rsidP="00A51840">
      <w:pPr>
        <w:rPr>
          <w:szCs w:val="28"/>
        </w:rPr>
      </w:pPr>
      <w:r>
        <w:rPr>
          <w:szCs w:val="28"/>
        </w:rPr>
        <w:t>П</w:t>
      </w:r>
      <w:r w:rsidR="00A51840">
        <w:rPr>
          <w:szCs w:val="28"/>
        </w:rPr>
        <w:t>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</w:t>
      </w:r>
      <w:r w:rsidR="00F61465">
        <w:rPr>
          <w:szCs w:val="28"/>
        </w:rPr>
        <w:t xml:space="preserve">        </w:t>
      </w:r>
      <w:r>
        <w:rPr>
          <w:szCs w:val="28"/>
        </w:rPr>
        <w:t xml:space="preserve">М.Р. </w:t>
      </w:r>
      <w:proofErr w:type="spellStart"/>
      <w:r>
        <w:rPr>
          <w:szCs w:val="28"/>
        </w:rPr>
        <w:t>Зарипов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="00F36835">
        <w:rPr>
          <w:szCs w:val="28"/>
        </w:rPr>
        <w:t xml:space="preserve">  </w:t>
      </w:r>
      <w:r w:rsidRPr="00AC72EF">
        <w:rPr>
          <w:szCs w:val="28"/>
        </w:rPr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F36835" w:rsidP="00AC72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BB2A1F">
        <w:rPr>
          <w:szCs w:val="28"/>
        </w:rPr>
        <w:t xml:space="preserve">  </w:t>
      </w:r>
      <w:r w:rsidR="00AC72EF" w:rsidRPr="00AC72EF">
        <w:rPr>
          <w:szCs w:val="28"/>
        </w:rPr>
        <w:tab/>
        <w:t xml:space="preserve">     </w:t>
      </w:r>
      <w:r w:rsidR="00EE27FA">
        <w:rPr>
          <w:szCs w:val="28"/>
        </w:rPr>
        <w:t xml:space="preserve"> </w:t>
      </w:r>
      <w:r w:rsidR="00AC72EF" w:rsidRPr="00AC72EF">
        <w:rPr>
          <w:szCs w:val="28"/>
        </w:rPr>
        <w:t xml:space="preserve">  </w:t>
      </w:r>
      <w:r w:rsidR="00F36835">
        <w:rPr>
          <w:szCs w:val="28"/>
        </w:rPr>
        <w:t xml:space="preserve">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Э.Д.Садыкова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20215D">
        <w:rPr>
          <w:szCs w:val="28"/>
        </w:rPr>
        <w:t>Д.А.Русских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7703B6">
          <w:pgSz w:w="11906" w:h="16838"/>
          <w:pgMar w:top="851" w:right="567" w:bottom="425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F61465">
        <w:rPr>
          <w:color w:val="000000"/>
          <w:sz w:val="24"/>
          <w:szCs w:val="24"/>
          <w:u w:val="single"/>
        </w:rPr>
        <w:t>6</w:t>
      </w:r>
      <w:r w:rsidR="006271A2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BB2807" w:rsidRPr="00511A39" w:rsidRDefault="00BB2807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225010" w:rsidRDefault="00591626" w:rsidP="0002320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225010">
        <w:rPr>
          <w:szCs w:val="28"/>
        </w:rPr>
        <w:t>на территории Республики Татарстан</w:t>
      </w:r>
    </w:p>
    <w:p w:rsidR="003B7317" w:rsidRDefault="00225010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szCs w:val="28"/>
        </w:rPr>
        <w:t>с</w:t>
      </w:r>
      <w:r w:rsidR="003D5DFC">
        <w:rPr>
          <w:bCs/>
          <w:szCs w:val="28"/>
        </w:rPr>
        <w:t xml:space="preserve"> </w:t>
      </w:r>
      <w:r w:rsidR="009A271A">
        <w:rPr>
          <w:bCs/>
          <w:szCs w:val="28"/>
        </w:rPr>
        <w:t>01 января 201</w:t>
      </w:r>
      <w:r w:rsidR="00F61465">
        <w:rPr>
          <w:bCs/>
          <w:szCs w:val="28"/>
        </w:rPr>
        <w:t>7</w:t>
      </w:r>
      <w:r w:rsidR="009A271A">
        <w:rPr>
          <w:bCs/>
          <w:szCs w:val="28"/>
        </w:rPr>
        <w:t xml:space="preserve"> года по 31 декабря 201</w:t>
      </w:r>
      <w:r w:rsidR="00F61465">
        <w:rPr>
          <w:bCs/>
          <w:szCs w:val="28"/>
        </w:rPr>
        <w:t>7</w:t>
      </w:r>
      <w:r w:rsidR="009A271A">
        <w:rPr>
          <w:bCs/>
          <w:szCs w:val="28"/>
        </w:rPr>
        <w:t xml:space="preserve"> года</w:t>
      </w:r>
    </w:p>
    <w:p w:rsidR="0002320F" w:rsidRPr="003B7317" w:rsidRDefault="0002320F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8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63"/>
        <w:gridCol w:w="709"/>
        <w:gridCol w:w="1701"/>
        <w:gridCol w:w="1701"/>
        <w:gridCol w:w="1842"/>
        <w:gridCol w:w="1701"/>
        <w:gridCol w:w="1985"/>
        <w:gridCol w:w="1843"/>
      </w:tblGrid>
      <w:tr w:rsidR="00BB2807" w:rsidRPr="008B13B5" w:rsidTr="002B3F20">
        <w:trPr>
          <w:trHeight w:val="19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13B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F61465">
              <w:rPr>
                <w:color w:val="000000"/>
                <w:sz w:val="22"/>
                <w:szCs w:val="22"/>
              </w:rPr>
              <w:t>сетевой</w:t>
            </w:r>
            <w:r w:rsidR="00E85C3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61465">
              <w:rPr>
                <w:color w:val="000000"/>
                <w:sz w:val="22"/>
                <w:szCs w:val="22"/>
              </w:rPr>
              <w:t>организации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января по 30 июня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июля по 31 декабря</w:t>
            </w:r>
          </w:p>
        </w:tc>
      </w:tr>
      <w:tr w:rsidR="00BB2807" w:rsidRPr="008B13B5" w:rsidTr="002B3F20">
        <w:trPr>
          <w:trHeight w:val="34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</w:tr>
      <w:tr w:rsidR="00BB2807" w:rsidRPr="00841685" w:rsidTr="002B3F20">
        <w:trPr>
          <w:trHeight w:val="1120"/>
        </w:trPr>
        <w:tc>
          <w:tcPr>
            <w:tcW w:w="582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4168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4168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4168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4168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2" w:type="dxa"/>
            <w:vMerge/>
            <w:vAlign w:val="center"/>
            <w:hideMark/>
          </w:tcPr>
          <w:p w:rsidR="00BB2807" w:rsidRPr="0084168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4168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4168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4168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4168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4168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</w:tr>
      <w:tr w:rsidR="00BB2807" w:rsidRPr="00841685" w:rsidTr="002B3F20">
        <w:trPr>
          <w:trHeight w:val="615"/>
        </w:trPr>
        <w:tc>
          <w:tcPr>
            <w:tcW w:w="582" w:type="dxa"/>
            <w:vMerge/>
            <w:vAlign w:val="center"/>
            <w:hideMark/>
          </w:tcPr>
          <w:p w:rsidR="00BB2807" w:rsidRPr="0084168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BB2807" w:rsidRPr="0084168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B2807" w:rsidRPr="0084168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4168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4168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 w:rsidRPr="00841685">
              <w:rPr>
                <w:color w:val="000000"/>
                <w:sz w:val="22"/>
                <w:szCs w:val="22"/>
              </w:rPr>
              <w:t>М</w:t>
            </w:r>
            <w:r w:rsidRPr="0084168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4168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4168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4168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 w:rsidRPr="00841685">
              <w:rPr>
                <w:color w:val="000000"/>
                <w:sz w:val="22"/>
                <w:szCs w:val="22"/>
              </w:rPr>
              <w:t>М</w:t>
            </w:r>
            <w:r w:rsidRPr="0084168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4168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B2807" w:rsidRPr="0084168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4168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4168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4168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4168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4168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 w:rsidRPr="00841685">
              <w:rPr>
                <w:color w:val="000000"/>
                <w:sz w:val="22"/>
                <w:szCs w:val="22"/>
              </w:rPr>
              <w:t>М</w:t>
            </w:r>
            <w:r w:rsidRPr="0084168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4168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4168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4168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 w:rsidRPr="00841685">
              <w:rPr>
                <w:color w:val="000000"/>
                <w:sz w:val="22"/>
                <w:szCs w:val="22"/>
              </w:rPr>
              <w:t>М</w:t>
            </w:r>
            <w:r w:rsidRPr="0084168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4168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4168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4168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4168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4168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CC2666" w:rsidRPr="00841685" w:rsidTr="00CC2666">
        <w:trPr>
          <w:trHeight w:val="359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CC2666" w:rsidRPr="00841685" w:rsidRDefault="00CC2666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4168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CC2666" w:rsidRPr="00841685" w:rsidRDefault="00CC2666" w:rsidP="00CC2666">
            <w:pPr>
              <w:rPr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Общество с ограниченной ответственностью «КАМАЗ-</w:t>
            </w:r>
            <w:proofErr w:type="spellStart"/>
            <w:r w:rsidRPr="00841685">
              <w:rPr>
                <w:sz w:val="24"/>
                <w:szCs w:val="24"/>
              </w:rPr>
              <w:t>Энерго</w:t>
            </w:r>
            <w:proofErr w:type="spellEnd"/>
            <w:r w:rsidRPr="00841685">
              <w:rPr>
                <w:sz w:val="24"/>
                <w:szCs w:val="24"/>
              </w:rPr>
              <w:t>»  - открытое акционерное общество «Сетевая компания»</w:t>
            </w:r>
          </w:p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33 705,11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23,08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0,10124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33 705,11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21,74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0,09990</w:t>
            </w:r>
          </w:p>
        </w:tc>
      </w:tr>
      <w:tr w:rsidR="00CC2666" w:rsidRPr="00841685" w:rsidTr="00CC2666">
        <w:trPr>
          <w:trHeight w:val="378"/>
        </w:trPr>
        <w:tc>
          <w:tcPr>
            <w:tcW w:w="582" w:type="dxa"/>
            <w:vMerge/>
            <w:shd w:val="clear" w:color="auto" w:fill="auto"/>
            <w:vAlign w:val="center"/>
          </w:tcPr>
          <w:p w:rsidR="00CC2666" w:rsidRPr="00841685" w:rsidRDefault="00CC2666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841685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35 678,83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22,72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0,11280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35 678,83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22,17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0,11225</w:t>
            </w:r>
          </w:p>
        </w:tc>
      </w:tr>
      <w:tr w:rsidR="00CC2666" w:rsidRPr="00841685" w:rsidTr="00CC2666">
        <w:trPr>
          <w:trHeight w:val="417"/>
        </w:trPr>
        <w:tc>
          <w:tcPr>
            <w:tcW w:w="582" w:type="dxa"/>
            <w:vMerge/>
            <w:shd w:val="clear" w:color="auto" w:fill="auto"/>
            <w:vAlign w:val="center"/>
          </w:tcPr>
          <w:p w:rsidR="00CC2666" w:rsidRPr="00841685" w:rsidRDefault="00CC2666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841685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39 803,562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22,234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0,12271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39 803,562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23,790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0,12427</w:t>
            </w:r>
          </w:p>
        </w:tc>
      </w:tr>
      <w:tr w:rsidR="00CC2666" w:rsidRPr="00841685" w:rsidTr="00CC2666">
        <w:trPr>
          <w:trHeight w:val="417"/>
        </w:trPr>
        <w:tc>
          <w:tcPr>
            <w:tcW w:w="582" w:type="dxa"/>
            <w:vMerge/>
            <w:shd w:val="clear" w:color="auto" w:fill="auto"/>
            <w:vAlign w:val="center"/>
          </w:tcPr>
          <w:p w:rsidR="00CC2666" w:rsidRPr="00841685" w:rsidRDefault="00CC2666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841685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47 552,44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23,08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0,13335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47 552,44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21,74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0,13201</w:t>
            </w:r>
          </w:p>
        </w:tc>
      </w:tr>
      <w:tr w:rsidR="00CC2666" w:rsidRPr="00841685" w:rsidTr="00CC2666">
        <w:trPr>
          <w:trHeight w:val="253"/>
        </w:trPr>
        <w:tc>
          <w:tcPr>
            <w:tcW w:w="582" w:type="dxa"/>
            <w:vMerge/>
            <w:shd w:val="clear" w:color="auto" w:fill="auto"/>
            <w:vAlign w:val="center"/>
          </w:tcPr>
          <w:p w:rsidR="00CC2666" w:rsidRPr="00841685" w:rsidRDefault="00CC2666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841685"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48 568,84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23,08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0,13570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48 568,84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21,74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C2666" w:rsidRPr="00841685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0,13436</w:t>
            </w:r>
          </w:p>
        </w:tc>
      </w:tr>
    </w:tbl>
    <w:p w:rsidR="009928E9" w:rsidRPr="00841685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RPr="00841685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841685" w:rsidRDefault="00A4370B" w:rsidP="00A4370B">
      <w:pPr>
        <w:ind w:left="5954" w:hanging="284"/>
        <w:rPr>
          <w:sz w:val="24"/>
          <w:szCs w:val="24"/>
        </w:rPr>
      </w:pPr>
      <w:r w:rsidRPr="00841685">
        <w:rPr>
          <w:sz w:val="24"/>
          <w:szCs w:val="24"/>
        </w:rPr>
        <w:lastRenderedPageBreak/>
        <w:t xml:space="preserve">Приложение </w:t>
      </w:r>
      <w:r w:rsidR="006271A2" w:rsidRPr="00841685">
        <w:rPr>
          <w:sz w:val="24"/>
          <w:szCs w:val="24"/>
        </w:rPr>
        <w:t>2</w:t>
      </w:r>
      <w:r w:rsidR="00F61465" w:rsidRPr="00841685">
        <w:rPr>
          <w:sz w:val="24"/>
          <w:szCs w:val="24"/>
        </w:rPr>
        <w:t xml:space="preserve"> к </w:t>
      </w:r>
      <w:r w:rsidRPr="00841685">
        <w:rPr>
          <w:sz w:val="24"/>
          <w:szCs w:val="24"/>
        </w:rPr>
        <w:t>постановлению</w:t>
      </w:r>
    </w:p>
    <w:p w:rsidR="00A4370B" w:rsidRPr="00841685" w:rsidRDefault="00A4370B" w:rsidP="00A4370B">
      <w:pPr>
        <w:ind w:left="5954" w:hanging="284"/>
        <w:rPr>
          <w:sz w:val="24"/>
          <w:szCs w:val="24"/>
        </w:rPr>
      </w:pPr>
      <w:r w:rsidRPr="00841685">
        <w:rPr>
          <w:sz w:val="24"/>
          <w:szCs w:val="24"/>
        </w:rPr>
        <w:t>Государственного комитета</w:t>
      </w:r>
    </w:p>
    <w:p w:rsidR="00A4370B" w:rsidRPr="00841685" w:rsidRDefault="00A4370B" w:rsidP="00A4370B">
      <w:pPr>
        <w:ind w:left="5954" w:hanging="284"/>
        <w:rPr>
          <w:sz w:val="24"/>
          <w:szCs w:val="24"/>
        </w:rPr>
      </w:pPr>
      <w:r w:rsidRPr="00841685">
        <w:rPr>
          <w:sz w:val="24"/>
          <w:szCs w:val="24"/>
        </w:rPr>
        <w:t>Республики Татарстан по тарифам</w:t>
      </w:r>
    </w:p>
    <w:p w:rsidR="00A4370B" w:rsidRPr="00841685" w:rsidRDefault="00A4370B" w:rsidP="00A4370B">
      <w:pPr>
        <w:ind w:left="5954" w:hanging="284"/>
        <w:rPr>
          <w:sz w:val="24"/>
          <w:szCs w:val="24"/>
        </w:rPr>
      </w:pPr>
      <w:r w:rsidRPr="00841685">
        <w:rPr>
          <w:sz w:val="24"/>
          <w:szCs w:val="24"/>
        </w:rPr>
        <w:t>_______________</w:t>
      </w:r>
      <w:r w:rsidRPr="00841685">
        <w:rPr>
          <w:sz w:val="24"/>
          <w:szCs w:val="24"/>
          <w:u w:val="single"/>
        </w:rPr>
        <w:t>201</w:t>
      </w:r>
      <w:r w:rsidR="00F61465" w:rsidRPr="00841685">
        <w:rPr>
          <w:sz w:val="24"/>
          <w:szCs w:val="24"/>
          <w:u w:val="single"/>
        </w:rPr>
        <w:t>6</w:t>
      </w:r>
      <w:r w:rsidR="006271A2" w:rsidRPr="00841685">
        <w:rPr>
          <w:sz w:val="24"/>
          <w:szCs w:val="24"/>
          <w:u w:val="single"/>
        </w:rPr>
        <w:t xml:space="preserve"> </w:t>
      </w:r>
      <w:r w:rsidRPr="00841685">
        <w:rPr>
          <w:sz w:val="24"/>
          <w:szCs w:val="24"/>
          <w:u w:val="single"/>
        </w:rPr>
        <w:t>г.</w:t>
      </w:r>
      <w:r w:rsidRPr="00841685">
        <w:rPr>
          <w:sz w:val="24"/>
          <w:szCs w:val="24"/>
        </w:rPr>
        <w:t xml:space="preserve"> №_____</w:t>
      </w:r>
    </w:p>
    <w:p w:rsidR="00A4370B" w:rsidRPr="00841685" w:rsidRDefault="00A4370B" w:rsidP="00A4370B">
      <w:pPr>
        <w:jc w:val="center"/>
        <w:rPr>
          <w:szCs w:val="28"/>
        </w:rPr>
      </w:pPr>
    </w:p>
    <w:p w:rsidR="00A4370B" w:rsidRPr="00841685" w:rsidRDefault="00A4370B" w:rsidP="00A4370B">
      <w:pPr>
        <w:jc w:val="center"/>
        <w:rPr>
          <w:szCs w:val="28"/>
        </w:rPr>
      </w:pPr>
    </w:p>
    <w:p w:rsidR="00A4370B" w:rsidRPr="00841685" w:rsidRDefault="00A4370B" w:rsidP="00A4370B">
      <w:pPr>
        <w:jc w:val="center"/>
        <w:rPr>
          <w:szCs w:val="28"/>
        </w:rPr>
      </w:pPr>
      <w:r w:rsidRPr="00841685">
        <w:rPr>
          <w:szCs w:val="28"/>
        </w:rPr>
        <w:t xml:space="preserve">Необходимая валовая выручка </w:t>
      </w:r>
      <w:r w:rsidR="00B34DE3" w:rsidRPr="00841685">
        <w:rPr>
          <w:szCs w:val="28"/>
        </w:rPr>
        <w:t>территориальных сетевых организаций</w:t>
      </w:r>
    </w:p>
    <w:p w:rsidR="00A4370B" w:rsidRPr="00841685" w:rsidRDefault="00A4370B" w:rsidP="00DB327A">
      <w:pPr>
        <w:jc w:val="center"/>
        <w:rPr>
          <w:szCs w:val="28"/>
        </w:rPr>
      </w:pPr>
      <w:r w:rsidRPr="00841685">
        <w:rPr>
          <w:szCs w:val="28"/>
        </w:rPr>
        <w:t xml:space="preserve"> (без учета оплаты потерь)</w:t>
      </w:r>
      <w:r w:rsidR="005C443F" w:rsidRPr="00841685">
        <w:rPr>
          <w:szCs w:val="28"/>
        </w:rPr>
        <w:t xml:space="preserve"> на </w:t>
      </w:r>
      <w:r w:rsidR="00F61465" w:rsidRPr="00841685">
        <w:rPr>
          <w:szCs w:val="28"/>
        </w:rPr>
        <w:t>2017</w:t>
      </w:r>
      <w:r w:rsidR="005C443F" w:rsidRPr="00841685">
        <w:rPr>
          <w:szCs w:val="28"/>
        </w:rPr>
        <w:t xml:space="preserve"> </w:t>
      </w:r>
      <w:r w:rsidR="006271A2" w:rsidRPr="00841685">
        <w:rPr>
          <w:szCs w:val="28"/>
        </w:rPr>
        <w:t>год</w:t>
      </w:r>
    </w:p>
    <w:p w:rsidR="00A4370B" w:rsidRPr="00841685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841685" w:rsidTr="00A4370B">
        <w:tc>
          <w:tcPr>
            <w:tcW w:w="534" w:type="dxa"/>
            <w:vMerge w:val="restart"/>
          </w:tcPr>
          <w:p w:rsidR="005E280F" w:rsidRPr="00841685" w:rsidRDefault="005E280F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</w:p>
          <w:p w:rsidR="00A4370B" w:rsidRPr="00841685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84168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168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4168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5E280F" w:rsidRPr="00841685" w:rsidRDefault="005E280F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A4370B" w:rsidRPr="00841685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841685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841685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841685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5E280F" w:rsidRPr="00841685" w:rsidRDefault="005E280F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A4370B" w:rsidRPr="00841685" w:rsidRDefault="005E280F" w:rsidP="005E280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841685">
              <w:rPr>
                <w:color w:val="000000"/>
                <w:sz w:val="24"/>
                <w:szCs w:val="24"/>
              </w:rPr>
              <w:t xml:space="preserve">    </w:t>
            </w:r>
            <w:r w:rsidR="00A4370B" w:rsidRPr="00841685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841685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841685">
              <w:rPr>
                <w:color w:val="000000"/>
                <w:sz w:val="24"/>
                <w:szCs w:val="24"/>
              </w:rPr>
              <w:t xml:space="preserve">НВВ сетевых организаций без учета оплаты потерь </w:t>
            </w:r>
          </w:p>
        </w:tc>
      </w:tr>
      <w:tr w:rsidR="00A4370B" w:rsidRPr="00841685" w:rsidTr="005C443F">
        <w:trPr>
          <w:trHeight w:val="266"/>
        </w:trPr>
        <w:tc>
          <w:tcPr>
            <w:tcW w:w="534" w:type="dxa"/>
            <w:vMerge/>
          </w:tcPr>
          <w:p w:rsidR="00A4370B" w:rsidRPr="00841685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841685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841685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841685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841685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CC2666" w:rsidRPr="00841685" w:rsidTr="00CC2666">
        <w:tc>
          <w:tcPr>
            <w:tcW w:w="534" w:type="dxa"/>
            <w:vMerge w:val="restart"/>
            <w:vAlign w:val="center"/>
          </w:tcPr>
          <w:p w:rsidR="00CC2666" w:rsidRPr="00841685" w:rsidRDefault="00CC2666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84168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CC2666" w:rsidRPr="00841685" w:rsidRDefault="00CC2666" w:rsidP="00CC2666">
            <w:pPr>
              <w:rPr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Общество с ограниченной ответственностью «КАМАЗ-</w:t>
            </w:r>
            <w:proofErr w:type="spellStart"/>
            <w:r w:rsidRPr="00841685">
              <w:rPr>
                <w:sz w:val="24"/>
                <w:szCs w:val="24"/>
              </w:rPr>
              <w:t>Энерго</w:t>
            </w:r>
            <w:proofErr w:type="spellEnd"/>
            <w:r w:rsidRPr="00841685">
              <w:rPr>
                <w:sz w:val="24"/>
                <w:szCs w:val="24"/>
              </w:rPr>
              <w:t>» - открытое акционерное общество «Сетевая компания»</w:t>
            </w:r>
          </w:p>
          <w:p w:rsidR="00CC2666" w:rsidRPr="00841685" w:rsidRDefault="00CC2666" w:rsidP="00CC26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  <w:r w:rsidRPr="00841685">
              <w:rPr>
                <w:sz w:val="24"/>
                <w:szCs w:val="24"/>
              </w:rPr>
              <w:t>138 054,79</w:t>
            </w:r>
          </w:p>
        </w:tc>
      </w:tr>
      <w:tr w:rsidR="00CC2666" w:rsidRPr="00841685" w:rsidTr="00CC2666">
        <w:tc>
          <w:tcPr>
            <w:tcW w:w="534" w:type="dxa"/>
            <w:vMerge/>
            <w:vAlign w:val="center"/>
          </w:tcPr>
          <w:p w:rsidR="00CC2666" w:rsidRPr="00841685" w:rsidRDefault="00CC2666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841685"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41685">
              <w:rPr>
                <w:sz w:val="24"/>
                <w:szCs w:val="24"/>
              </w:rPr>
              <w:t>143 848,48</w:t>
            </w:r>
          </w:p>
        </w:tc>
      </w:tr>
      <w:tr w:rsidR="00CC2666" w:rsidRPr="00841685" w:rsidTr="00CC2666">
        <w:tc>
          <w:tcPr>
            <w:tcW w:w="534" w:type="dxa"/>
            <w:vMerge/>
            <w:vAlign w:val="center"/>
          </w:tcPr>
          <w:p w:rsidR="00CC2666" w:rsidRPr="00841685" w:rsidRDefault="00CC2666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841685"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841685">
              <w:rPr>
                <w:sz w:val="24"/>
                <w:szCs w:val="24"/>
              </w:rPr>
              <w:t>137 558,723</w:t>
            </w:r>
          </w:p>
        </w:tc>
      </w:tr>
      <w:tr w:rsidR="00CC2666" w:rsidRPr="00841685" w:rsidTr="00CC2666">
        <w:tc>
          <w:tcPr>
            <w:tcW w:w="534" w:type="dxa"/>
            <w:vMerge/>
            <w:vAlign w:val="center"/>
          </w:tcPr>
          <w:p w:rsidR="00CC2666" w:rsidRPr="00841685" w:rsidRDefault="00CC2666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841685"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841685">
              <w:rPr>
                <w:sz w:val="24"/>
                <w:szCs w:val="24"/>
              </w:rPr>
              <w:t>194 772,90</w:t>
            </w:r>
          </w:p>
        </w:tc>
      </w:tr>
      <w:tr w:rsidR="00CC2666" w:rsidRPr="00A83266" w:rsidTr="00CC2666">
        <w:tc>
          <w:tcPr>
            <w:tcW w:w="534" w:type="dxa"/>
            <w:vMerge/>
            <w:vAlign w:val="center"/>
          </w:tcPr>
          <w:p w:rsidR="00CC2666" w:rsidRPr="00841685" w:rsidRDefault="00CC2666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666" w:rsidRPr="00841685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841685"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841685">
              <w:rPr>
                <w:sz w:val="24"/>
                <w:szCs w:val="24"/>
              </w:rPr>
              <w:t>198 936,02</w:t>
            </w:r>
            <w:bookmarkStart w:id="1" w:name="_GoBack"/>
            <w:bookmarkEnd w:id="1"/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4C7F"/>
    <w:rsid w:val="00005B8B"/>
    <w:rsid w:val="000068A1"/>
    <w:rsid w:val="00010284"/>
    <w:rsid w:val="00016999"/>
    <w:rsid w:val="0002320F"/>
    <w:rsid w:val="00041682"/>
    <w:rsid w:val="000417D5"/>
    <w:rsid w:val="00045DD6"/>
    <w:rsid w:val="00052F06"/>
    <w:rsid w:val="0005719A"/>
    <w:rsid w:val="000628CF"/>
    <w:rsid w:val="00066F42"/>
    <w:rsid w:val="00077C75"/>
    <w:rsid w:val="000822E2"/>
    <w:rsid w:val="00085DC4"/>
    <w:rsid w:val="000977AF"/>
    <w:rsid w:val="000A4778"/>
    <w:rsid w:val="000A6352"/>
    <w:rsid w:val="000A7529"/>
    <w:rsid w:val="000B23CC"/>
    <w:rsid w:val="000B70CE"/>
    <w:rsid w:val="000C71D0"/>
    <w:rsid w:val="000D19B6"/>
    <w:rsid w:val="000E0B3C"/>
    <w:rsid w:val="000F1A58"/>
    <w:rsid w:val="00114106"/>
    <w:rsid w:val="00121CF4"/>
    <w:rsid w:val="00134897"/>
    <w:rsid w:val="00136EE8"/>
    <w:rsid w:val="001400C3"/>
    <w:rsid w:val="00151588"/>
    <w:rsid w:val="00151A5C"/>
    <w:rsid w:val="001533D7"/>
    <w:rsid w:val="00157131"/>
    <w:rsid w:val="00172887"/>
    <w:rsid w:val="00180139"/>
    <w:rsid w:val="0018016C"/>
    <w:rsid w:val="00186C66"/>
    <w:rsid w:val="00196169"/>
    <w:rsid w:val="001A3B4B"/>
    <w:rsid w:val="001A58C2"/>
    <w:rsid w:val="001B09D6"/>
    <w:rsid w:val="001B3516"/>
    <w:rsid w:val="001B6835"/>
    <w:rsid w:val="001C2A59"/>
    <w:rsid w:val="001E26B2"/>
    <w:rsid w:val="001F7677"/>
    <w:rsid w:val="0020215D"/>
    <w:rsid w:val="002035EA"/>
    <w:rsid w:val="00203E50"/>
    <w:rsid w:val="00206B92"/>
    <w:rsid w:val="002132C1"/>
    <w:rsid w:val="002167FB"/>
    <w:rsid w:val="0022033C"/>
    <w:rsid w:val="00220787"/>
    <w:rsid w:val="00225010"/>
    <w:rsid w:val="00227FA5"/>
    <w:rsid w:val="00235377"/>
    <w:rsid w:val="00254840"/>
    <w:rsid w:val="00274C5E"/>
    <w:rsid w:val="00283E8C"/>
    <w:rsid w:val="00285398"/>
    <w:rsid w:val="002A67E2"/>
    <w:rsid w:val="002B1063"/>
    <w:rsid w:val="002B373E"/>
    <w:rsid w:val="002B3F20"/>
    <w:rsid w:val="002C79D9"/>
    <w:rsid w:val="002D3806"/>
    <w:rsid w:val="002E05BB"/>
    <w:rsid w:val="002E1CA7"/>
    <w:rsid w:val="002F19F3"/>
    <w:rsid w:val="002F47FA"/>
    <w:rsid w:val="003041FF"/>
    <w:rsid w:val="003116CF"/>
    <w:rsid w:val="003160A2"/>
    <w:rsid w:val="003241BE"/>
    <w:rsid w:val="00340BC3"/>
    <w:rsid w:val="00343D01"/>
    <w:rsid w:val="00355338"/>
    <w:rsid w:val="003556FE"/>
    <w:rsid w:val="00357A2E"/>
    <w:rsid w:val="00360CEA"/>
    <w:rsid w:val="0036570A"/>
    <w:rsid w:val="00366C37"/>
    <w:rsid w:val="00371EFD"/>
    <w:rsid w:val="00376B12"/>
    <w:rsid w:val="00390387"/>
    <w:rsid w:val="00392DB2"/>
    <w:rsid w:val="003B3A2E"/>
    <w:rsid w:val="003B7317"/>
    <w:rsid w:val="003C3B8C"/>
    <w:rsid w:val="003C4B09"/>
    <w:rsid w:val="003D04E5"/>
    <w:rsid w:val="003D5DFC"/>
    <w:rsid w:val="003F5964"/>
    <w:rsid w:val="0040318C"/>
    <w:rsid w:val="00403E92"/>
    <w:rsid w:val="004052A7"/>
    <w:rsid w:val="004156A7"/>
    <w:rsid w:val="00423505"/>
    <w:rsid w:val="004247E8"/>
    <w:rsid w:val="00446258"/>
    <w:rsid w:val="00455443"/>
    <w:rsid w:val="00465D13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C74FA"/>
    <w:rsid w:val="004D2182"/>
    <w:rsid w:val="004E5A11"/>
    <w:rsid w:val="004E6B79"/>
    <w:rsid w:val="004F58A8"/>
    <w:rsid w:val="005055CE"/>
    <w:rsid w:val="0050683A"/>
    <w:rsid w:val="00511667"/>
    <w:rsid w:val="00511A39"/>
    <w:rsid w:val="0051228F"/>
    <w:rsid w:val="005179DF"/>
    <w:rsid w:val="00517B1B"/>
    <w:rsid w:val="00525571"/>
    <w:rsid w:val="00532898"/>
    <w:rsid w:val="0053789E"/>
    <w:rsid w:val="00543CCE"/>
    <w:rsid w:val="00550DB2"/>
    <w:rsid w:val="005523E5"/>
    <w:rsid w:val="00553DCA"/>
    <w:rsid w:val="00557687"/>
    <w:rsid w:val="0056055B"/>
    <w:rsid w:val="00566795"/>
    <w:rsid w:val="00571BE8"/>
    <w:rsid w:val="00571F24"/>
    <w:rsid w:val="00574EEC"/>
    <w:rsid w:val="00583CB2"/>
    <w:rsid w:val="00584117"/>
    <w:rsid w:val="00591626"/>
    <w:rsid w:val="00593B6F"/>
    <w:rsid w:val="00594505"/>
    <w:rsid w:val="00595BDF"/>
    <w:rsid w:val="005A1686"/>
    <w:rsid w:val="005A2B0A"/>
    <w:rsid w:val="005B36C5"/>
    <w:rsid w:val="005B3E46"/>
    <w:rsid w:val="005B4877"/>
    <w:rsid w:val="005C1A40"/>
    <w:rsid w:val="005C443F"/>
    <w:rsid w:val="005C5CDF"/>
    <w:rsid w:val="005D0C16"/>
    <w:rsid w:val="005E280F"/>
    <w:rsid w:val="005E3916"/>
    <w:rsid w:val="005F1A46"/>
    <w:rsid w:val="005F7AB9"/>
    <w:rsid w:val="00600EB5"/>
    <w:rsid w:val="00611333"/>
    <w:rsid w:val="0061285F"/>
    <w:rsid w:val="00622E9A"/>
    <w:rsid w:val="00623488"/>
    <w:rsid w:val="0062642D"/>
    <w:rsid w:val="006271A2"/>
    <w:rsid w:val="00631664"/>
    <w:rsid w:val="00640CA3"/>
    <w:rsid w:val="006516F6"/>
    <w:rsid w:val="0065603E"/>
    <w:rsid w:val="00660CF7"/>
    <w:rsid w:val="006847B3"/>
    <w:rsid w:val="006A18BB"/>
    <w:rsid w:val="006E23A3"/>
    <w:rsid w:val="006E56ED"/>
    <w:rsid w:val="006E6557"/>
    <w:rsid w:val="00701377"/>
    <w:rsid w:val="00704309"/>
    <w:rsid w:val="00705771"/>
    <w:rsid w:val="0070728B"/>
    <w:rsid w:val="00715847"/>
    <w:rsid w:val="00716765"/>
    <w:rsid w:val="00751C8A"/>
    <w:rsid w:val="00760B50"/>
    <w:rsid w:val="007703B6"/>
    <w:rsid w:val="00773D36"/>
    <w:rsid w:val="00780553"/>
    <w:rsid w:val="007915CC"/>
    <w:rsid w:val="00792DB4"/>
    <w:rsid w:val="00794E57"/>
    <w:rsid w:val="00795449"/>
    <w:rsid w:val="007A096B"/>
    <w:rsid w:val="007C42B9"/>
    <w:rsid w:val="007E1B37"/>
    <w:rsid w:val="007E30BC"/>
    <w:rsid w:val="007E49D4"/>
    <w:rsid w:val="00813950"/>
    <w:rsid w:val="00815509"/>
    <w:rsid w:val="00815A44"/>
    <w:rsid w:val="008233D4"/>
    <w:rsid w:val="008251A9"/>
    <w:rsid w:val="00841685"/>
    <w:rsid w:val="008425D9"/>
    <w:rsid w:val="00853340"/>
    <w:rsid w:val="0086116D"/>
    <w:rsid w:val="0088166A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43D3"/>
    <w:rsid w:val="008F5A0B"/>
    <w:rsid w:val="009110EC"/>
    <w:rsid w:val="00935947"/>
    <w:rsid w:val="009372B4"/>
    <w:rsid w:val="009428B0"/>
    <w:rsid w:val="00956351"/>
    <w:rsid w:val="009566A7"/>
    <w:rsid w:val="009732EA"/>
    <w:rsid w:val="0098517D"/>
    <w:rsid w:val="00991848"/>
    <w:rsid w:val="0099248F"/>
    <w:rsid w:val="009928E9"/>
    <w:rsid w:val="0099482D"/>
    <w:rsid w:val="009A17D5"/>
    <w:rsid w:val="009A271A"/>
    <w:rsid w:val="009A775A"/>
    <w:rsid w:val="009B0026"/>
    <w:rsid w:val="009B559D"/>
    <w:rsid w:val="009C19EE"/>
    <w:rsid w:val="009D2F44"/>
    <w:rsid w:val="009F3B5B"/>
    <w:rsid w:val="00A07655"/>
    <w:rsid w:val="00A164F8"/>
    <w:rsid w:val="00A2360A"/>
    <w:rsid w:val="00A26683"/>
    <w:rsid w:val="00A3332B"/>
    <w:rsid w:val="00A3568A"/>
    <w:rsid w:val="00A4370B"/>
    <w:rsid w:val="00A51840"/>
    <w:rsid w:val="00A55951"/>
    <w:rsid w:val="00A64267"/>
    <w:rsid w:val="00A83266"/>
    <w:rsid w:val="00A8334E"/>
    <w:rsid w:val="00A8418B"/>
    <w:rsid w:val="00A905BE"/>
    <w:rsid w:val="00A93F10"/>
    <w:rsid w:val="00A97500"/>
    <w:rsid w:val="00AB2A0D"/>
    <w:rsid w:val="00AB522E"/>
    <w:rsid w:val="00AB6D32"/>
    <w:rsid w:val="00AC72EF"/>
    <w:rsid w:val="00AD4DE5"/>
    <w:rsid w:val="00AD6472"/>
    <w:rsid w:val="00AE0773"/>
    <w:rsid w:val="00AE0DA0"/>
    <w:rsid w:val="00AE1227"/>
    <w:rsid w:val="00AE1B0F"/>
    <w:rsid w:val="00AE4B4F"/>
    <w:rsid w:val="00AF167B"/>
    <w:rsid w:val="00AF2D2A"/>
    <w:rsid w:val="00B07405"/>
    <w:rsid w:val="00B15D39"/>
    <w:rsid w:val="00B33A96"/>
    <w:rsid w:val="00B3451E"/>
    <w:rsid w:val="00B34DE3"/>
    <w:rsid w:val="00B4069C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86621"/>
    <w:rsid w:val="00B93922"/>
    <w:rsid w:val="00B962CE"/>
    <w:rsid w:val="00BA384C"/>
    <w:rsid w:val="00BA4F51"/>
    <w:rsid w:val="00BA6135"/>
    <w:rsid w:val="00BB2807"/>
    <w:rsid w:val="00BB2A1F"/>
    <w:rsid w:val="00BC138D"/>
    <w:rsid w:val="00BC3FF5"/>
    <w:rsid w:val="00BF0132"/>
    <w:rsid w:val="00BF62EB"/>
    <w:rsid w:val="00BF6395"/>
    <w:rsid w:val="00C07254"/>
    <w:rsid w:val="00C111D0"/>
    <w:rsid w:val="00C21759"/>
    <w:rsid w:val="00C26EFD"/>
    <w:rsid w:val="00C36218"/>
    <w:rsid w:val="00C71298"/>
    <w:rsid w:val="00C76572"/>
    <w:rsid w:val="00C93E45"/>
    <w:rsid w:val="00CB6828"/>
    <w:rsid w:val="00CC102E"/>
    <w:rsid w:val="00CC1B52"/>
    <w:rsid w:val="00CC2666"/>
    <w:rsid w:val="00CC399F"/>
    <w:rsid w:val="00CD2936"/>
    <w:rsid w:val="00CD52C6"/>
    <w:rsid w:val="00CE2736"/>
    <w:rsid w:val="00CE2FE8"/>
    <w:rsid w:val="00CE4F94"/>
    <w:rsid w:val="00CF16C4"/>
    <w:rsid w:val="00CF2DEC"/>
    <w:rsid w:val="00D03E72"/>
    <w:rsid w:val="00D1269F"/>
    <w:rsid w:val="00D2670E"/>
    <w:rsid w:val="00D26BA0"/>
    <w:rsid w:val="00D366EE"/>
    <w:rsid w:val="00D4050A"/>
    <w:rsid w:val="00D4385D"/>
    <w:rsid w:val="00D520AF"/>
    <w:rsid w:val="00D74005"/>
    <w:rsid w:val="00D7595C"/>
    <w:rsid w:val="00D76BB6"/>
    <w:rsid w:val="00D8504D"/>
    <w:rsid w:val="00DB1BA3"/>
    <w:rsid w:val="00DB327A"/>
    <w:rsid w:val="00DD169F"/>
    <w:rsid w:val="00DE47BB"/>
    <w:rsid w:val="00DE7812"/>
    <w:rsid w:val="00DF34FA"/>
    <w:rsid w:val="00DF62B7"/>
    <w:rsid w:val="00E14EC1"/>
    <w:rsid w:val="00E160A5"/>
    <w:rsid w:val="00E21A67"/>
    <w:rsid w:val="00E36F72"/>
    <w:rsid w:val="00E419EA"/>
    <w:rsid w:val="00E44829"/>
    <w:rsid w:val="00E53D67"/>
    <w:rsid w:val="00E70542"/>
    <w:rsid w:val="00E85C3F"/>
    <w:rsid w:val="00E85D78"/>
    <w:rsid w:val="00EB4D09"/>
    <w:rsid w:val="00EB6CA5"/>
    <w:rsid w:val="00EC1EE3"/>
    <w:rsid w:val="00EC6156"/>
    <w:rsid w:val="00EC7BF3"/>
    <w:rsid w:val="00ED69E6"/>
    <w:rsid w:val="00EE27FA"/>
    <w:rsid w:val="00EF370E"/>
    <w:rsid w:val="00EF5955"/>
    <w:rsid w:val="00EF61A4"/>
    <w:rsid w:val="00F02081"/>
    <w:rsid w:val="00F042E5"/>
    <w:rsid w:val="00F07A42"/>
    <w:rsid w:val="00F1165B"/>
    <w:rsid w:val="00F154A0"/>
    <w:rsid w:val="00F36835"/>
    <w:rsid w:val="00F5027C"/>
    <w:rsid w:val="00F527B3"/>
    <w:rsid w:val="00F61465"/>
    <w:rsid w:val="00F61935"/>
    <w:rsid w:val="00F64CC8"/>
    <w:rsid w:val="00F87A7B"/>
    <w:rsid w:val="00F95190"/>
    <w:rsid w:val="00F972D4"/>
    <w:rsid w:val="00F97A2D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19C9-DD98-4794-9B25-E9D998DF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Зиятова Мария Владимировна</cp:lastModifiedBy>
  <cp:revision>7</cp:revision>
  <cp:lastPrinted>2016-11-24T09:18:00Z</cp:lastPrinted>
  <dcterms:created xsi:type="dcterms:W3CDTF">2016-11-02T08:33:00Z</dcterms:created>
  <dcterms:modified xsi:type="dcterms:W3CDTF">2016-11-25T14:13:00Z</dcterms:modified>
</cp:coreProperties>
</file>