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</w:t>
      </w:r>
    </w:p>
    <w:p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>
      <w:pPr>
        <w:pStyle w:val="FR1"/>
        <w:spacing w:before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ПОСТАНОВЛЕНИЕ                                                                                              КАРАР</w:t>
      </w:r>
    </w:p>
    <w:p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>
      <w:pPr>
        <w:spacing w:line="276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от_________                                                                                                           №______</w:t>
      </w:r>
    </w:p>
    <w:p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</w:tblGrid>
      <w:tr>
        <w:tc>
          <w:tcPr>
            <w:tcW w:w="496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изменения в Положение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хозяйстве, утвержденное постановлением Кабинета Министров Республики Татарстан от 30.09.2021 № 935 «Об утверждении Положения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хозяйстве»</w:t>
            </w:r>
          </w:p>
        </w:tc>
      </w:tr>
    </w:tbl>
    <w:p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Кабинет Министров Республики Татарстан ПОСТАНОВЛЯЕТ:</w:t>
      </w:r>
    </w:p>
    <w:p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a5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хозяйстве, утвержденное постановлением Кабинета Министров Республики Татарстан от 30.09.2021 № 935 «Об утверждении Положения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хозяйстве» (с изменениями, внесенными постановлениями Кабинета Министров Республики Татарстан от 30.12.2021 №1339, от 11.11.2023 №1464,</w:t>
      </w:r>
      <w:r>
        <w:t xml:space="preserve"> </w:t>
      </w:r>
      <w:r>
        <w:rPr>
          <w:sz w:val="28"/>
          <w:szCs w:val="28"/>
        </w:rPr>
        <w:t>от 08.12.2023  № 1582 )</w:t>
      </w:r>
      <w:bookmarkStart w:id="0" w:name="_GoBack"/>
      <w:bookmarkEnd w:id="0"/>
      <w:r>
        <w:rPr>
          <w:sz w:val="28"/>
          <w:szCs w:val="28"/>
        </w:rPr>
        <w:t xml:space="preserve"> изменение, дополнив пункт 1.5.1.  </w:t>
      </w:r>
      <w:proofErr w:type="gramStart"/>
      <w:r>
        <w:rPr>
          <w:sz w:val="28"/>
          <w:szCs w:val="28"/>
        </w:rPr>
        <w:t>подпунктом</w:t>
      </w:r>
      <w:proofErr w:type="gramEnd"/>
      <w:r>
        <w:rPr>
          <w:sz w:val="28"/>
          <w:szCs w:val="28"/>
        </w:rPr>
        <w:t xml:space="preserve"> в) следующего содержания:</w:t>
      </w:r>
    </w:p>
    <w:p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к осуществлению проезда транспортных средств по платным автомобильным дорогам общего пользования регионального значения и частным автомобильным дорогам общего пользования, платным участкам автомобильных дорог общего пользования регионального значения и частных автомобильных дорог </w:t>
      </w:r>
      <w:r>
        <w:rPr>
          <w:sz w:val="28"/>
          <w:szCs w:val="28"/>
        </w:rPr>
        <w:lastRenderedPageBreak/>
        <w:t>общего пользования в части соблюдения порядка внесения платы за проезд транспортного средства;».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Установить, что настоящее постановление вступает в силу с 1 сентября 2024 года.</w:t>
      </w:r>
    </w:p>
    <w:p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 </w:t>
      </w:r>
    </w:p>
    <w:p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            </w:t>
      </w:r>
      <w:proofErr w:type="spellStart"/>
      <w:r>
        <w:rPr>
          <w:sz w:val="28"/>
          <w:szCs w:val="28"/>
        </w:rPr>
        <w:t>А.В.Песошин</w:t>
      </w:r>
      <w:proofErr w:type="spellEnd"/>
    </w:p>
    <w:sectPr>
      <w:headerReference w:type="even" r:id="rId8"/>
      <w:headerReference w:type="default" r:id="rId9"/>
      <w:pgSz w:w="11906" w:h="16838"/>
      <w:pgMar w:top="1134" w:right="567" w:bottom="1134" w:left="1134" w:header="5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FDD"/>
    <w:multiLevelType w:val="hybridMultilevel"/>
    <w:tmpl w:val="975E9D56"/>
    <w:lvl w:ilvl="0" w:tplc="1E9C9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C27F9"/>
    <w:multiLevelType w:val="hybridMultilevel"/>
    <w:tmpl w:val="6F3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DB7EAB"/>
    <w:multiLevelType w:val="hybridMultilevel"/>
    <w:tmpl w:val="84566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73578E"/>
    <w:multiLevelType w:val="multilevel"/>
    <w:tmpl w:val="8BD00EA0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1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21BB302B"/>
    <w:multiLevelType w:val="hybridMultilevel"/>
    <w:tmpl w:val="3116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820"/>
    <w:multiLevelType w:val="hybridMultilevel"/>
    <w:tmpl w:val="5BF2C288"/>
    <w:lvl w:ilvl="0" w:tplc="69F076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E92070"/>
    <w:multiLevelType w:val="singleLevel"/>
    <w:tmpl w:val="297274D4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32D01461"/>
    <w:multiLevelType w:val="hybridMultilevel"/>
    <w:tmpl w:val="B3E8661E"/>
    <w:lvl w:ilvl="0" w:tplc="B9C2F2D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51D66EB"/>
    <w:multiLevelType w:val="hybridMultilevel"/>
    <w:tmpl w:val="C43CA662"/>
    <w:lvl w:ilvl="0" w:tplc="5F06F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5F517F"/>
    <w:multiLevelType w:val="hybridMultilevel"/>
    <w:tmpl w:val="66F4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1632F4"/>
    <w:multiLevelType w:val="hybridMultilevel"/>
    <w:tmpl w:val="913078DE"/>
    <w:lvl w:ilvl="0" w:tplc="99667C78">
      <w:start w:val="1"/>
      <w:numFmt w:val="decimal"/>
      <w:lvlText w:val="%1."/>
      <w:lvlJc w:val="left"/>
      <w:pPr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921259"/>
    <w:multiLevelType w:val="hybridMultilevel"/>
    <w:tmpl w:val="C64E198E"/>
    <w:lvl w:ilvl="0" w:tplc="018C9BE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A56117"/>
    <w:multiLevelType w:val="hybridMultilevel"/>
    <w:tmpl w:val="0A22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AB2740"/>
    <w:multiLevelType w:val="hybridMultilevel"/>
    <w:tmpl w:val="0ED43B42"/>
    <w:lvl w:ilvl="0" w:tplc="391A2A1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571F1A8F"/>
    <w:multiLevelType w:val="hybridMultilevel"/>
    <w:tmpl w:val="D5A0114E"/>
    <w:lvl w:ilvl="0" w:tplc="E2C2EC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16">
    <w:nsid w:val="66A0668D"/>
    <w:multiLevelType w:val="singleLevel"/>
    <w:tmpl w:val="126AB11E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7">
    <w:nsid w:val="7E6F3A6A"/>
    <w:multiLevelType w:val="hybridMultilevel"/>
    <w:tmpl w:val="76D8B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17"/>
  </w:num>
  <w:num w:numId="8">
    <w:abstractNumId w:val="2"/>
  </w:num>
  <w:num w:numId="9">
    <w:abstractNumId w:val="3"/>
  </w:num>
  <w:num w:numId="10">
    <w:abstractNumId w:val="16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340360-0A17-4662-BACD-805C0220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a"/>
    <w:link w:val="10"/>
    <w:uiPriority w:val="99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Pr>
      <w:rFonts w:cs="Times New Roman"/>
      <w:sz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sz w:val="0"/>
      <w:szCs w:val="0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table" w:styleId="a6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pacing w:val="-10"/>
      <w:sz w:val="38"/>
      <w:szCs w:val="38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Pr>
      <w:rFonts w:ascii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Strong"/>
    <w:uiPriority w:val="22"/>
    <w:qFormat/>
    <w:locked/>
    <w:rPr>
      <w:b/>
      <w:bCs/>
    </w:rPr>
  </w:style>
  <w:style w:type="paragraph" w:styleId="af">
    <w:name w:val="foot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920" w:line="300" w:lineRule="auto"/>
      <w:ind w:left="1280" w:firstLine="9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2B854-D64B-4E51-964F-7A096F06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creator>minnikaeva</dc:creator>
  <cp:lastModifiedBy>Идрисова Фина Тимерьяновна</cp:lastModifiedBy>
  <cp:revision>4</cp:revision>
  <cp:lastPrinted>2024-04-23T09:59:00Z</cp:lastPrinted>
  <dcterms:created xsi:type="dcterms:W3CDTF">2024-05-17T05:59:00Z</dcterms:created>
  <dcterms:modified xsi:type="dcterms:W3CDTF">2024-05-17T07:06:00Z</dcterms:modified>
</cp:coreProperties>
</file>