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FB" w:rsidRPr="00FD08EB" w:rsidRDefault="00FA28FB" w:rsidP="00FA2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Утверждена</w:t>
      </w:r>
    </w:p>
    <w:p w:rsidR="00FA28FB" w:rsidRPr="00FD08EB" w:rsidRDefault="00FA28FB" w:rsidP="00FA2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</w:t>
      </w:r>
    </w:p>
    <w:p w:rsidR="00FA28FB" w:rsidRPr="00FD08EB" w:rsidRDefault="00FA28FB" w:rsidP="00FA2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Кабинета Министров Республики Татарстан </w:t>
      </w:r>
    </w:p>
    <w:p w:rsidR="00FA28FB" w:rsidRPr="00FD08EB" w:rsidRDefault="00FA28FB" w:rsidP="00FA2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№  </w:t>
      </w:r>
    </w:p>
    <w:p w:rsidR="00FA28FB" w:rsidRPr="00FD08EB" w:rsidRDefault="00FA28FB" w:rsidP="00FA2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редакции постановления Кабинета Министров Республики Татарстан </w:t>
      </w:r>
      <w:r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_______ 2023 № _____</w:t>
      </w:r>
      <w:r w:rsidR="00233F8F" w:rsidRPr="00FD08E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A28FB" w:rsidRPr="00FD08EB" w:rsidRDefault="00FA28FB" w:rsidP="00FA28FB">
      <w:pPr>
        <w:widowControl w:val="0"/>
        <w:spacing w:after="0" w:line="240" w:lineRule="auto"/>
        <w:ind w:firstLine="1584"/>
        <w:rPr>
          <w:rFonts w:ascii="Times New Roman CYR" w:eastAsia="Calibri" w:hAnsi="Times New Roman CYR" w:cs="Arial"/>
          <w:sz w:val="28"/>
          <w:szCs w:val="28"/>
        </w:rPr>
      </w:pPr>
    </w:p>
    <w:p w:rsidR="00FA28FB" w:rsidRPr="00FD08EB" w:rsidRDefault="00FA28FB" w:rsidP="00FA28FB">
      <w:pPr>
        <w:widowControl w:val="0"/>
        <w:spacing w:after="0" w:line="240" w:lineRule="auto"/>
        <w:ind w:firstLine="1584"/>
        <w:jc w:val="center"/>
        <w:rPr>
          <w:rFonts w:ascii="Times New Roman CYR" w:eastAsia="Calibri" w:hAnsi="Times New Roman CYR" w:cs="Arial"/>
          <w:sz w:val="28"/>
          <w:szCs w:val="28"/>
        </w:rPr>
      </w:pPr>
    </w:p>
    <w:p w:rsidR="00FA28FB" w:rsidRPr="00FD08EB" w:rsidRDefault="00FA28FB" w:rsidP="00FA28FB">
      <w:pPr>
        <w:spacing w:after="0" w:line="240" w:lineRule="auto"/>
        <w:jc w:val="center"/>
        <w:rPr>
          <w:rFonts w:ascii="Times New Roman" w:eastAsia="Calibri" w:hAnsi="Times New Roman" w:cs="Arial"/>
          <w:b/>
          <w:color w:val="000000"/>
          <w:sz w:val="28"/>
          <w:szCs w:val="28"/>
        </w:rPr>
      </w:pPr>
      <w:bookmarkStart w:id="0" w:name="_Toc716721662"/>
      <w:bookmarkStart w:id="1" w:name="_Toc103349467"/>
      <w:bookmarkStart w:id="2" w:name="_Toc125366016"/>
      <w:r w:rsidRPr="00FD08EB">
        <w:rPr>
          <w:rFonts w:ascii="Times New Roman" w:eastAsia="Calibri" w:hAnsi="Times New Roman" w:cs="Arial"/>
          <w:b/>
          <w:color w:val="000000"/>
          <w:sz w:val="28"/>
          <w:szCs w:val="28"/>
        </w:rPr>
        <w:t xml:space="preserve">Государственная программа Республики Татарстан </w:t>
      </w:r>
    </w:p>
    <w:p w:rsidR="00FA28FB" w:rsidRPr="00FD08EB" w:rsidRDefault="00FA28FB" w:rsidP="00FA28FB">
      <w:pPr>
        <w:spacing w:after="0" w:line="240" w:lineRule="auto"/>
        <w:jc w:val="center"/>
        <w:rPr>
          <w:rFonts w:ascii="Times New Roman" w:eastAsia="Calibri" w:hAnsi="Times New Roman" w:cs="Arial"/>
          <w:b/>
          <w:color w:val="000000"/>
          <w:sz w:val="28"/>
          <w:szCs w:val="28"/>
        </w:rPr>
      </w:pPr>
      <w:r w:rsidRPr="00FD08EB">
        <w:rPr>
          <w:rFonts w:ascii="Times New Roman" w:eastAsia="Calibri" w:hAnsi="Times New Roman" w:cs="Arial"/>
          <w:b/>
          <w:color w:val="000000"/>
          <w:sz w:val="28"/>
          <w:szCs w:val="28"/>
        </w:rPr>
        <w:t>«Научно-технологическое развитие Республики Татарстан»</w:t>
      </w:r>
    </w:p>
    <w:bookmarkEnd w:id="0"/>
    <w:bookmarkEnd w:id="1"/>
    <w:bookmarkEnd w:id="2"/>
    <w:p w:rsidR="00FA28FB" w:rsidRPr="00FD08EB" w:rsidRDefault="00FA28FB" w:rsidP="00FA28FB">
      <w:pPr>
        <w:spacing w:after="0" w:line="240" w:lineRule="auto"/>
        <w:jc w:val="center"/>
        <w:rPr>
          <w:rFonts w:ascii="Times New Roman CYR" w:eastAsia="Calibri" w:hAnsi="Times New Roman CYR" w:cs="Arial"/>
          <w:sz w:val="28"/>
        </w:rPr>
      </w:pPr>
    </w:p>
    <w:p w:rsidR="00FA28FB" w:rsidRPr="00FD08EB" w:rsidRDefault="00FA28FB" w:rsidP="00FA28FB">
      <w:pPr>
        <w:spacing w:after="0" w:line="240" w:lineRule="auto"/>
        <w:jc w:val="center"/>
        <w:rPr>
          <w:rFonts w:ascii="Times New Roman CYR" w:eastAsia="Calibri" w:hAnsi="Times New Roman CYR" w:cs="Arial"/>
          <w:b/>
          <w:sz w:val="28"/>
          <w:szCs w:val="28"/>
        </w:rPr>
      </w:pPr>
      <w:r w:rsidRPr="00FD08EB">
        <w:rPr>
          <w:rFonts w:ascii="Times New Roman CYR" w:eastAsia="Calibri" w:hAnsi="Times New Roman CYR" w:cs="Arial"/>
          <w:b/>
          <w:sz w:val="28"/>
          <w:szCs w:val="28"/>
        </w:rPr>
        <w:t>Стратегические приоритеты в сфере реализации государственной</w:t>
      </w:r>
    </w:p>
    <w:p w:rsidR="00FA28FB" w:rsidRPr="00FD08EB" w:rsidRDefault="00FA28FB" w:rsidP="00FA28FB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  <w:r w:rsidRPr="00FD08EB">
        <w:rPr>
          <w:rFonts w:ascii="Times New Roman CYR" w:eastAsia="Calibri" w:hAnsi="Times New Roman CYR" w:cs="Arial"/>
          <w:b/>
          <w:sz w:val="28"/>
          <w:szCs w:val="28"/>
        </w:rPr>
        <w:t xml:space="preserve">программы Республики Татарстан </w:t>
      </w:r>
      <w:r w:rsidRPr="00FD08EB">
        <w:rPr>
          <w:rFonts w:ascii="Times New Roman" w:eastAsia="Calibri" w:hAnsi="Times New Roman" w:cs="Arial"/>
          <w:b/>
          <w:color w:val="000000"/>
          <w:sz w:val="28"/>
          <w:szCs w:val="28"/>
        </w:rPr>
        <w:t>«Научно-технологическое развитие Республики Татарстан»</w:t>
      </w:r>
    </w:p>
    <w:p w:rsidR="00FA28FB" w:rsidRPr="00FD08EB" w:rsidRDefault="00FA28FB" w:rsidP="00FA28FB">
      <w:pPr>
        <w:spacing w:after="0" w:line="240" w:lineRule="auto"/>
        <w:jc w:val="center"/>
        <w:rPr>
          <w:rFonts w:ascii="Times New Roman CYR" w:eastAsia="Calibri" w:hAnsi="Times New Roman CYR" w:cs="Arial"/>
          <w:sz w:val="28"/>
        </w:rPr>
      </w:pPr>
    </w:p>
    <w:p w:rsidR="00FA28FB" w:rsidRPr="00FD08EB" w:rsidRDefault="00FA28FB" w:rsidP="00FA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  <w:r w:rsidRPr="00FD08EB">
        <w:rPr>
          <w:rFonts w:ascii="Times New Roman CYR" w:eastAsia="Calibri" w:hAnsi="Times New Roman CYR" w:cs="Arial"/>
          <w:b/>
          <w:sz w:val="28"/>
          <w:szCs w:val="28"/>
          <w:lang w:val="en-US"/>
        </w:rPr>
        <w:t>I</w:t>
      </w:r>
      <w:r w:rsidRPr="00FD08EB">
        <w:rPr>
          <w:rFonts w:ascii="Times New Roman CYR" w:eastAsia="Calibri" w:hAnsi="Times New Roman CYR" w:cs="Arial"/>
          <w:b/>
          <w:sz w:val="28"/>
          <w:szCs w:val="28"/>
        </w:rPr>
        <w:t xml:space="preserve">. Оценка текущего состояния в сфере </w:t>
      </w:r>
      <w:r w:rsidRPr="00FD08EB">
        <w:rPr>
          <w:rFonts w:ascii="Times New Roman CYR" w:eastAsia="Calibri" w:hAnsi="Times New Roman CYR" w:cs="Arial"/>
          <w:b/>
          <w:sz w:val="28"/>
        </w:rPr>
        <w:t>реализации Программы, проблемы,</w:t>
      </w:r>
    </w:p>
    <w:p w:rsidR="00FA28FB" w:rsidRPr="00FD08EB" w:rsidRDefault="00FA28FB" w:rsidP="00FA28FB">
      <w:pPr>
        <w:widowControl w:val="0"/>
        <w:spacing w:after="0" w:line="240" w:lineRule="auto"/>
        <w:jc w:val="center"/>
        <w:outlineLvl w:val="0"/>
        <w:rPr>
          <w:rFonts w:ascii="Times New Roman" w:eastAsia="Yu Gothic Light" w:hAnsi="Times New Roman" w:cs="Times New Roman"/>
          <w:b/>
          <w:sz w:val="28"/>
          <w:szCs w:val="32"/>
        </w:rPr>
      </w:pPr>
      <w:r w:rsidRPr="00FD08EB">
        <w:rPr>
          <w:rFonts w:ascii="Times New Roman" w:eastAsia="Yu Gothic Light" w:hAnsi="Times New Roman" w:cs="Times New Roman"/>
          <w:b/>
          <w:sz w:val="28"/>
          <w:szCs w:val="32"/>
        </w:rPr>
        <w:t>на решение которых направлена Программа</w:t>
      </w:r>
    </w:p>
    <w:p w:rsidR="00DC78CA" w:rsidRPr="00FD08EB" w:rsidRDefault="00DC78CA" w:rsidP="00DC78CA">
      <w:pPr>
        <w:spacing w:after="0" w:line="228" w:lineRule="auto"/>
        <w:rPr>
          <w:rFonts w:ascii="Times New Roman CYR" w:eastAsia="Calibri" w:hAnsi="Times New Roman CYR" w:cs="Arial"/>
          <w:sz w:val="28"/>
        </w:rPr>
      </w:pP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По итогам многомерного сравнительного анализа были определены сильные и слабые стороны Республики Татарстан в научно-образовательной и инновационной сферах.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Сильные стороны Республики Татарстан: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 xml:space="preserve">1. Мощный образовательный потенциал, международная активность. Лидерство в </w:t>
      </w:r>
      <w:proofErr w:type="spellStart"/>
      <w:r w:rsidRPr="00FD08EB">
        <w:rPr>
          <w:rFonts w:ascii="Times New Roman" w:eastAsia="Calibri" w:hAnsi="Times New Roman" w:cs="Times New Roman"/>
          <w:iCs/>
          <w:sz w:val="28"/>
          <w:szCs w:val="28"/>
        </w:rPr>
        <w:t>репутационных</w:t>
      </w:r>
      <w:proofErr w:type="spellEnd"/>
      <w:r w:rsidRPr="00FD08EB">
        <w:rPr>
          <w:rFonts w:ascii="Times New Roman" w:eastAsia="Calibri" w:hAnsi="Times New Roman" w:cs="Times New Roman"/>
          <w:iCs/>
          <w:sz w:val="28"/>
          <w:szCs w:val="28"/>
        </w:rPr>
        <w:t xml:space="preserve"> и коммуникационных метриках.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Республика Татарстан является одним из устойчивых и признанных национальных лидеров: третье место среди субъектов Российской Федерации по ключевым параметрам социально-экономического развития</w:t>
      </w:r>
      <w:r w:rsidR="00195135" w:rsidRPr="00FD08EB">
        <w:rPr>
          <w:rFonts w:ascii="Times New Roman" w:eastAsia="Calibri" w:hAnsi="Times New Roman" w:cs="Times New Roman"/>
          <w:sz w:val="28"/>
          <w:szCs w:val="28"/>
        </w:rPr>
        <w:t>; четвертое место – в рейтинге регионов по качеству жизни.</w:t>
      </w: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По индексу конкурентоспособности регионов республика занимает четвертое место, в том числе по следующим направлениям конкуренции: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природные факторы – третье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человеческий капитал – четвертое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инновации и информация – четвертое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институты – 16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рынки – четвертое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инвестиционный и финансовый капитал – седьмое место;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пространство и реальный капитал – четвертое место.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За республикой закрепился имидж стабильного и последовательно развивающегося региона, Татарстан получил международное признание как надежный и перспективный деловой партнер, открытый для взаимовыгодного сотрудничества в различных сферах деятельности. 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В Национальном рейтинге состояния инвестиционного климата Республика Татарстан занимает второе место.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целом в рейтинге научно-технологического развития регионов Республика Татарстан занимает третье место (после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г.Москвы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-Петербурга).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>2. Активность в области инноваций.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В рейтинге инновационного развития регионов Республика Татарстан занимает третье место (после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г.Москвы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-Петербурга). Наиболее значимые направления, обеспечивающие инновационный прорыв территории: уровень инновационной активности организаций, внедрение технологических инноваций, величина затрат на инновационную деятельность в общем объеме отгруженных товаров, выполненных работ, услуг, удельный вес инновационных товаров, работ, услуг в общем объеме отгруженных товаров, выполненных работ, услуг.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>3. Удельный вес молодых исследователей.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На долю молодых исследователей (до 39 лет) в общей численности работающих в этой сфере в целом по России в 2021 году приходилось 44 процента, для сравнения: в Республике Татарстан – около 60 процентов.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 xml:space="preserve">4. Удельный вес сектора </w:t>
      </w:r>
      <w:r w:rsidRPr="00FD08EB">
        <w:rPr>
          <w:rFonts w:ascii="Times New Roman" w:eastAsia="Calibri" w:hAnsi="Times New Roman" w:cs="Times New Roman"/>
          <w:sz w:val="28"/>
          <w:szCs w:val="28"/>
        </w:rPr>
        <w:t>образовательных организаций высшего образования</w:t>
      </w:r>
      <w:r w:rsidRPr="00FD08EB">
        <w:rPr>
          <w:rFonts w:ascii="Times New Roman" w:eastAsia="Calibri" w:hAnsi="Times New Roman" w:cs="Times New Roman"/>
          <w:iCs/>
          <w:sz w:val="28"/>
          <w:szCs w:val="28"/>
        </w:rPr>
        <w:t xml:space="preserve"> во внутренних затратах на исследования и разработки.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Удельный вес сектора образовательных организаций высшего образования во внутренних затратах на исследования и разработки в целом по Российской Федерации составил в 2021 году около 10 процентов. В Республике Татарстан на образовательные организации высшего образования приходится вдвое больше – около 1/5 объема затрат на исследования и разработки (20,7 процента). 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>5. Привлекательная среда и серьезная научная инфраструктурная обеспеченность.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Основные фонды образовательных организаций высшего образования в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>2021 году в Республике Татарстан составили 62,6 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млрд.рублей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, или 114 процентов к показателям 2016 года.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Обеспеченность общежитиями за рассматриваемый период составила в республике 7,5 </w:t>
      </w:r>
      <w:proofErr w:type="spellStart"/>
      <w:proofErr w:type="gramStart"/>
      <w:r w:rsidRPr="00FD08EB">
        <w:rPr>
          <w:rFonts w:ascii="Times New Roman" w:eastAsia="Calibri" w:hAnsi="Times New Roman" w:cs="Times New Roman"/>
          <w:sz w:val="28"/>
          <w:szCs w:val="28"/>
        </w:rPr>
        <w:t>кв.метра</w:t>
      </w:r>
      <w:proofErr w:type="spellEnd"/>
      <w:proofErr w:type="gram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на 1 студента очной формы обучения в образовательных организациях высшего образования, в целом по стране – 6,5 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кв.метра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На 1 студента очной формы обучения в образовательных организациях высшего образования в 2021 году приходилось 15,2 </w:t>
      </w:r>
      <w:proofErr w:type="spellStart"/>
      <w:proofErr w:type="gramStart"/>
      <w:r w:rsidRPr="00FD08EB">
        <w:rPr>
          <w:rFonts w:ascii="Times New Roman" w:eastAsia="Calibri" w:hAnsi="Times New Roman" w:cs="Times New Roman"/>
          <w:sz w:val="28"/>
          <w:szCs w:val="28"/>
        </w:rPr>
        <w:t>кв.метра</w:t>
      </w:r>
      <w:proofErr w:type="spellEnd"/>
      <w:proofErr w:type="gram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учебно-лабораторных зданий, в целом по стране – 16,5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кв.метра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Доля инвестиций в основной капитал в Республике Татарстан к ВРП составила в 2020 году 23,4 процента, в Российской Федерации – 21,5 процента к ВВП.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Доля продукции высокотехнологичных и наукоемких отраслей в валовом продукте Российской Федерации была стабильна в 2016 – 2018 годах, продемонстрировав некоторый рост в 2020 году до 20,7 процента. По регионам указанный показатель варьировался от 10 до 34 процентов, диапазон значений по шести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референтным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регионам составил от 19,7 процента (Республика Татарстан) до 32,1 процента (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-Петербург).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Слабые стороны Республики Татарстан: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 xml:space="preserve">1. Не синхронизированы показатели образовательных, научных учреждений, реального сектора и институтов развития. Необходимость </w:t>
      </w:r>
      <w:r w:rsidRPr="00FD08EB">
        <w:rPr>
          <w:rFonts w:ascii="Times New Roman" w:eastAsia="Calibri" w:hAnsi="Times New Roman" w:cs="Times New Roman"/>
          <w:sz w:val="28"/>
          <w:szCs w:val="28"/>
        </w:rPr>
        <w:t>фокусировки исследований.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Асинхронность и низкие амбиции в целевых показателях образовательных, </w:t>
      </w: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>научных учреждений, реального сектора и институтов развития; необходимость фокусировки исследований, их согласованности с приоритетами научно-технологического развития региона – такой вывод сделан по итогам проведенного анализа, в том числе анализа направлений подготовки специалистов и научных кадров, распределения исследователей и структуры внутренних затрат на научные исследования и разработки по областям наук, структуры затрат на научные исследования и разработки по видам (фундаментальные исследования, прикладные исследования, разработки), направлений специализации публикационной активности, целевых показателей развития образовательных, научных учреждений, реального сектора и институтов развития.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2. Недофинансирование сектора </w:t>
      </w:r>
      <w:r w:rsidRPr="00FD08EB">
        <w:rPr>
          <w:rFonts w:ascii="Times New Roman" w:eastAsia="Calibri" w:hAnsi="Times New Roman" w:cs="Times New Roman"/>
          <w:iCs/>
          <w:sz w:val="28"/>
          <w:szCs w:val="28"/>
        </w:rPr>
        <w:t>науки и научных исследований. Дефицит ресурсов для развития. Недостаточное участие в федеральных программах.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Одним из важных показателей научно-технического развития является удельный вес внутренних затрат на исследования и разработки в валовом продукте. В целом по Российской Федерации указанный индикатор в последние годы находился в диапазоне 1,14 – 1,28 процента, в 2020 году он составил 1,25 процента. Если рассмотреть вклад сектора исследований и разработок в валовые региональные продукты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референтных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регионов, то лидером здесь являются Томская область – 2,9 процента 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-Петербург – 2,6 процента, что сопоставимо по значениям с Финляндией –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 xml:space="preserve">2,8 процента. Далее идут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г.Москва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– 2,2 процента и Новосибирская область –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>2,0 процента. Для сравнения: в Сингапуре и Канаде – 1,9 процента и 1,5 процента. Ниже значения в Свердловской области и Республике Татарстан – 1,16 процента и 0,73 процента соответственно.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>3. Структурные барьеры. Ограниченный спрос на научные разработки и технологические инновации со стороны реального сектора.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Удельный вес государства в затратах на научные исследования и разработки составил в 2021 году по рассматриваемым регионам от 30 процентов в Томской области и Республике Татарстан до 62 процентов в Новосибирской области.  На долю собственных средств приходится от 9 процентов (Новосибирская область) до 33 процентов (Республика Татарстан). Средства предпринимательского сектора составляют от 9 процентов (Республика Татарстан) до 28 процентов (Свердловская область).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4. Разобщенность и отсутствие эффективной системы коммуникации и кооперации сектора научных организаций, промышленных предприятий и других объектов реального сектора экономики.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iCs/>
          <w:sz w:val="28"/>
          <w:szCs w:val="28"/>
        </w:rPr>
        <w:t>5. Качество общего образования.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В рейтинге качества общего образования, подготовленном Федеральной службой по надзору в сфере образования и науки, лидирующие позиции занимают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-Петербург 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г.Москва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. Свердловская область находится на восьмом месте, Томская область и Республика Татарстан близки по позициям – 21 и 22 место соответственно. Немного отстает Новосибирская область – 31 место. 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В указанном рейтинге регионы оценивались по 12 критериям, разделенным на три группы: </w:t>
      </w:r>
    </w:p>
    <w:p w:rsidR="00DC78CA" w:rsidRPr="00FD08EB" w:rsidRDefault="00DC78CA" w:rsidP="00DC78CA">
      <w:pPr>
        <w:widowControl w:val="0"/>
        <w:tabs>
          <w:tab w:val="left" w:pos="993"/>
        </w:tabs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результаты обучения школьников: уровень подготовки, образовательное равенство, функциональная грамотность;</w:t>
      </w:r>
    </w:p>
    <w:p w:rsidR="00DC78CA" w:rsidRPr="00FD08EB" w:rsidRDefault="00DC78CA" w:rsidP="00DC78CA">
      <w:pPr>
        <w:widowControl w:val="0"/>
        <w:tabs>
          <w:tab w:val="left" w:pos="993"/>
        </w:tabs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>практикоориентированность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школьного образования: использование лабораторного оборудования, компьютеров, число поступивших в профессиональные образовательные организации и образовательные организации высшего образования региона;</w:t>
      </w:r>
    </w:p>
    <w:p w:rsidR="00DC78CA" w:rsidRPr="00FD08EB" w:rsidRDefault="00DC78CA" w:rsidP="00DC78CA">
      <w:pPr>
        <w:widowControl w:val="0"/>
        <w:tabs>
          <w:tab w:val="left" w:pos="993"/>
        </w:tabs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управление системой школьного образования: объективность оценочных процедур, эффективность механизмов управления качеством образования, эффективность организационно-технологического обеспечения проведения единого государственного экзамена и аналитика и интерпретация результатов государственной итоговой аттестации.</w:t>
      </w:r>
    </w:p>
    <w:p w:rsidR="00DC78CA" w:rsidRPr="00FD08EB" w:rsidRDefault="00DC78CA" w:rsidP="00DC78CA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6. Качество научных исследований. Невысокая изобретательская и патентная активность.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По количеству научных публикаций республика вносит вклад в федеральном масштабе в размере около 4 процентов от всех российских публикаций. В 2019 и </w:t>
      </w:r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br/>
        <w:t>2020 годах доля публикаций Татарстана в общей численности публикаций России, по данным Scopus, достигла 4,65 процента и 4,17 процента соответственно (заметно снижение доли в федеральном масштабе). По базе данных Web of Science (WoS) доля республики в федеральном масштабе за тот же период достигает 4,92 процента. Темпы роста количества публикаций в отношении предыдущего года замедлились. Так, в 2019 году в отношении 2018 года рост публикаций составил 132 процента, в 2020 году в отношении 2019 года – лишь 96 процентов.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В сопоставлении публикационной активности республики с </w:t>
      </w:r>
      <w:proofErr w:type="spellStart"/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референтными</w:t>
      </w:r>
      <w:proofErr w:type="spellEnd"/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странами и регионами России заметны следующие тренды. По количеству публикаций Татарстан отстает от всех рассматриваемых </w:t>
      </w:r>
      <w:proofErr w:type="spellStart"/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референтных</w:t>
      </w:r>
      <w:proofErr w:type="spellEnd"/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регионов. По Web of Science (WoS) в республике в 2021 году опубликовано лишь 3 040 публикаций (по Scopus – 4 389). По общему уровню цитирований наблюдается схожая картина, Татарстан опережает лишь Свердловскую область, которая по Web of Science (WoS) </w:t>
      </w:r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br/>
        <w:t xml:space="preserve">за 2017 – 2021 годы набрала 69 855 цитат (по Scopus – 87 530). Татарстан опережает ее незначительно: цитаты – 72 989 и 96 305 единиц соответственно.  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Т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атарстан опережает среднероссийский объем публикаций на одного сотрудника сферы науки и научных исследований, в том числе показатели </w:t>
      </w:r>
      <w:proofErr w:type="spellStart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г.Москвы</w:t>
      </w:r>
      <w:proofErr w:type="spellEnd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г.Санкт</w:t>
      </w:r>
      <w:proofErr w:type="spellEnd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-Петербурга. В республике данный индикатор достиг уровня 0,24 и 0,34 по Web of Science (WoS) и Scopus соответственно. Однако отстает от таких научных центров, как Новосибирская область (где индикатор достиг уровня 0,29 и 0,38), Томская область (0,56 и 0,53 – отставание в 2,3 раза). Для сравнения: количество публикаций в расчете на численность персонала, занятого научными исследованиями и разработками, в Сингапуре – 0,57 и 0,61, Финляндии </w:t>
      </w:r>
      <w:r w:rsidRPr="00FD08EB">
        <w:rPr>
          <w:rFonts w:ascii="Times New Roman" w:eastAsia="Symbol" w:hAnsi="Times New Roman" w:cs="Times New Roman"/>
          <w:sz w:val="28"/>
          <w:szCs w:val="28"/>
          <w:lang w:eastAsia="ru-RU"/>
        </w:rPr>
        <w:t>–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0,5 и 0,52, Канаде – 0,59 и 0,58, что значительно выше результатов российских регионов (исключение – Томская область).</w:t>
      </w:r>
    </w:p>
    <w:p w:rsidR="00562CB4" w:rsidRPr="00FD08EB" w:rsidRDefault="00562CB4" w:rsidP="00562CB4">
      <w:pPr>
        <w:widowControl w:val="0"/>
        <w:spacing w:after="0" w:line="240" w:lineRule="auto"/>
        <w:ind w:left="-57"/>
        <w:jc w:val="both"/>
        <w:rPr>
          <w:rFonts w:ascii="Times New Roman" w:eastAsia="Calibri" w:hAnsi="Times New Roman" w:cs="Times New Roman"/>
          <w:sz w:val="28"/>
          <w:szCs w:val="28"/>
        </w:rPr>
        <w:sectPr w:rsidR="00562CB4" w:rsidRPr="00FD08EB" w:rsidSect="007B44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81"/>
        </w:sectPr>
      </w:pPr>
      <w:r w:rsidRPr="00FD08E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94651" cy="1448789"/>
            <wp:effectExtent l="0" t="0" r="0" b="0"/>
            <wp:docPr id="2" name="Рисунок 2" descr="D:\Рауф\Минобр\программы\Программа научно-технологического развития РТ\ГП НТР комплект документов проектный формат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уф\Минобр\программы\Программа научно-технологического развития РТ\ГП НТР комплект документов проектный формат\Рисунок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896" cy="14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8CA" w:rsidRPr="00FD08EB" w:rsidRDefault="00DC78CA" w:rsidP="00562CB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образовательном пространстве, выбора и интенсификации усилий на направлениях научно-исследовательской деятельности, определенных глобальной и федеральной научной повесткой.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По уровню изобретательской активности Республика Татарстан занимает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 xml:space="preserve">10 место в Российской Федерации. Число поданных патентных заявок на изобретения в расчете на 10 </w:t>
      </w:r>
      <w:proofErr w:type="spellStart"/>
      <w:proofErr w:type="gramStart"/>
      <w:r w:rsidRPr="00FD08EB">
        <w:rPr>
          <w:rFonts w:ascii="Times New Roman" w:eastAsia="Calibri" w:hAnsi="Times New Roman" w:cs="Times New Roman"/>
          <w:sz w:val="28"/>
          <w:szCs w:val="28"/>
        </w:rPr>
        <w:t>тыс.человек</w:t>
      </w:r>
      <w:proofErr w:type="spellEnd"/>
      <w:proofErr w:type="gram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населения в 2021 году составило 1,63, что ниже уровня аналогичного параметра по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г.Москве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(4,2),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-Петербургу (8,6), Новосибирской (1,87) и Томской областей (2,4). 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Умеренные позиции Татарстан занимает и по уровню разработок передовых производственных технологий. Так, в 2021 году значение данного показателя в регионе находилось на уровне, сопоставимом со среднероссийским значением (Республика Татарстан: 37 созданных технологий в расчете на 1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млн.человек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занятого населения, в среднем по Российской Федерации – 31), заметно уступая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референтным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регионам (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г.Санкт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-Петербург, Томская область и Свердловская область – 93, 70, 67 и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>49 соответственно).</w:t>
      </w:r>
    </w:p>
    <w:p w:rsidR="00DC78CA" w:rsidRPr="00FD08EB" w:rsidRDefault="00DC78CA" w:rsidP="00DC78C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Потенциал роста ключевого показателя «Коэффициент изобретательской активности» в регионе формируется исходя из монотонно возрастающей численности персонала, занятого научными исследованиями и разработками (+ 4,8 процента за период с 2010 по 2021 год), что заметно выделяет регион из исследуемой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референтной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региональной группы.</w:t>
      </w:r>
    </w:p>
    <w:p w:rsidR="00FA28FB" w:rsidRPr="00FD08EB" w:rsidRDefault="00FA28FB" w:rsidP="00FA28FB">
      <w:pPr>
        <w:spacing w:after="0" w:line="240" w:lineRule="auto"/>
        <w:ind w:right="-1"/>
        <w:jc w:val="center"/>
        <w:rPr>
          <w:rFonts w:ascii="Times New Roman" w:eastAsia="Yu Mincho" w:hAnsi="Times New Roman" w:cs="Times New Roman"/>
          <w:b/>
          <w:sz w:val="28"/>
          <w:szCs w:val="28"/>
          <w:lang w:eastAsia="ru-RU"/>
        </w:rPr>
      </w:pPr>
    </w:p>
    <w:p w:rsidR="00FA28FB" w:rsidRPr="00FD08EB" w:rsidRDefault="00FA28FB" w:rsidP="00FA28FB">
      <w:pPr>
        <w:spacing w:after="0" w:line="240" w:lineRule="auto"/>
        <w:ind w:right="-1"/>
        <w:jc w:val="center"/>
        <w:rPr>
          <w:rFonts w:ascii="Times New Roman" w:eastAsia="Yu Mincho" w:hAnsi="Times New Roman" w:cs="Times New Roman"/>
          <w:b/>
          <w:sz w:val="28"/>
          <w:szCs w:val="28"/>
          <w:lang w:eastAsia="ru-RU"/>
        </w:rPr>
      </w:pPr>
      <w:r w:rsidRPr="00FD08EB">
        <w:rPr>
          <w:rFonts w:ascii="Times New Roman" w:eastAsia="Yu Mincho" w:hAnsi="Times New Roman" w:cs="Times New Roman"/>
          <w:b/>
          <w:sz w:val="28"/>
          <w:szCs w:val="28"/>
          <w:lang w:val="en-US" w:eastAsia="ru-RU"/>
        </w:rPr>
        <w:t>II</w:t>
      </w:r>
      <w:r w:rsidRPr="00FD08EB">
        <w:rPr>
          <w:rFonts w:ascii="Times New Roman" w:eastAsia="Yu Mincho" w:hAnsi="Times New Roman" w:cs="Times New Roman"/>
          <w:b/>
          <w:sz w:val="28"/>
          <w:szCs w:val="28"/>
          <w:lang w:eastAsia="ru-RU"/>
        </w:rPr>
        <w:t xml:space="preserve">. Описание приоритетов и целей государственной политики Республики Татарстан в сфере реализации государственной программы </w:t>
      </w:r>
    </w:p>
    <w:p w:rsidR="00FA28FB" w:rsidRPr="00FD08EB" w:rsidRDefault="00FA28FB" w:rsidP="00FA28FB">
      <w:pPr>
        <w:spacing w:after="0" w:line="240" w:lineRule="auto"/>
        <w:rPr>
          <w:rFonts w:ascii="Times New Roman CYR" w:eastAsia="Calibri" w:hAnsi="Times New Roman CYR" w:cs="Arial"/>
          <w:sz w:val="28"/>
        </w:rPr>
      </w:pP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Особенности формирования государственной политики в области научно-технологического развития Республики Татарстан с учетом больших вызовов определяют новую роль науки и технологий как основополагающего элемента решения многих глобальных, национальных и региональных проблем, обеспечения возможности прогнозировать происходящие в мире изменения, учитывать внутренние тенденции, ожидания и потребности российского общества, своевременно распознавать большие вызовы и эффективно отвечать на них.</w:t>
      </w:r>
    </w:p>
    <w:p w:rsidR="007D2913" w:rsidRPr="00FD08EB" w:rsidRDefault="007D2913" w:rsidP="007D2913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В ближайшие 10 – 15 лет приоритетами научно-технологического развития Российской Федерации следует считать те направления, которые позволят получить научные и научно-технические результаты и создать технологии, являющиеся основой инновационного развития внутреннего рынка продуктов и услуг, устойчивого положения Республики Татарстан на национальном и внешнем рынках, и обеспечат: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а) переход к передовым цифровым, интеллектуальным производственным технологиям, роботизированным системам, новым материалам и способам конструирования, создание систем обработки больших объемов данных, машинного обучения и искусственного интеллекта;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б) переход к экологически чистой и ресурсосберегающей энергетике, повышение эффективности добычи и глубокой переработки углеводородного сырья, формирование новых источников, способов транспортировки и хранения энергии;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в) переход к персонализированной медицине, высокотехнологичному </w:t>
      </w: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здравоохранению и технологиям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здоровьесбережения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, в том числе за счет рационального применения лекарственных препаратов (прежде всего антибактериальных);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г) переход к высокопродуктивному и экологически чистому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агро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- и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аквахозяйству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>, разработку и внедрение систем рационального применения средств химической и биологической защиты сельскохозяйственных растений и животных, хранение и эффективную переработку сельскохозяйственной продукции, создание безопасных и качественных, в том числе функциональных, продуктов питания;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д) противодействие техногенным, биогенным, социокультурным угрозам, терроризму и идеологическому экстремизму, а также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киберугрозам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и иным источникам опасности для общества, экономики и государства;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е) создание интеллектуальных транспортных и телекоммуникационных систем, а также занятие и удержание лидерских позиций в формировании международных транспортно-логистических систем;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ж) возможность эффективного ответа российского общества на большие вызовы с учетом взаимодействия человека и природы, человека и технологий, социальных институтов на современном этапе глобального развития, в том числе с применением методов гуманитарных и социальных наук;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з) противодействие угрозам распространения пандемий.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Необходимо обеспечить готовность Республики Татарстан к большим вызовам, еще не проявившимся и не получившим широкого общественного признания, предусмотреть своевременную оценку рисков, обусловленных научно-технологическим развитием. Ключевую роль в этом должна сыграть татарстанская фундаментальная наука, обеспечивающая получение новых знаний и опирающаяся на собственную логику развития. Поддержка фундаментальной науки как системообразующего института долгосрочного развития нации является первоочередной задачей государства.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В долгосрочной перспективе особую актуальность приобретают исследования в области понимания процессов, происходящих в обществе и природе, развития </w:t>
      </w:r>
      <w:proofErr w:type="spellStart"/>
      <w:r w:rsidRPr="00FD08EB">
        <w:rPr>
          <w:rFonts w:ascii="Times New Roman" w:eastAsia="Calibri" w:hAnsi="Times New Roman" w:cs="Times New Roman"/>
          <w:sz w:val="28"/>
          <w:szCs w:val="28"/>
        </w:rPr>
        <w:t>природоподобных</w:t>
      </w:r>
      <w:proofErr w:type="spellEnd"/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технологий, человеко-машинных систем, управления климатом и экосистемами. Возрастает актуальность исследований, связанных с этическими аспектами технологического развития, изменениями социальных, политических и экономических отношений.</w:t>
      </w:r>
    </w:p>
    <w:p w:rsidR="007D2913" w:rsidRPr="00FD08EB" w:rsidRDefault="007D2913" w:rsidP="007D291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Одним из основных инструментов, обеспечивающих преобразование фундаментальных знаний, поисковых научных исследований и прикладных научных исследований в продукты и услуги, способствующие достижению лидерства татарстанских компаний на перспективных рынках в рамках как имеющихся, так и возникающих приоритетов, и должна стать Программа.</w:t>
      </w:r>
    </w:p>
    <w:p w:rsidR="007D2913" w:rsidRPr="00FD08EB" w:rsidRDefault="007D2913" w:rsidP="007D2913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Программа обеспечивает реализацию основополагающих принципов государственной политики в области научно-технологического развития Республики Татарстан: </w:t>
      </w:r>
    </w:p>
    <w:p w:rsidR="007D2913" w:rsidRPr="00FD08EB" w:rsidRDefault="007D2913" w:rsidP="007D2913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рациональный баланс – предусмотрена государственная поддержка исследований и разработок, направленных на решение как значимых задач в рамках приоритетов научно-технологического развития, так и задач, инициированных исследователями, инженерным и предпринимательским сообществом и </w:t>
      </w: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обусловленных внутренней логикой развития науки, технологий и рынков; </w:t>
      </w:r>
    </w:p>
    <w:p w:rsidR="007D2913" w:rsidRPr="00FD08EB" w:rsidRDefault="007D2913" w:rsidP="007D2913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системность поддержки – обеспечение полного цикла получения новых знаний, разработки качественно новых технологий, создания прорывных продуктов и услуг, трансфера технологий, формирования новых рынков, а также занятие устойчивого положения на них достигаются поддержкой научных, научно-технических и высокотехнологичных проектов на всех стадиях их реализации и возможностью беспрепятственного перехода между такими стадиями; </w:t>
      </w:r>
    </w:p>
    <w:p w:rsidR="007D2913" w:rsidRPr="00FD08EB" w:rsidRDefault="007D2913" w:rsidP="007D2913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концентрация ресурсов – сосредоточение интеллектуальных, финансовых, организационных и инфраструктурных ресурсов на поддержке исследований и разработок, создании продуктов и услуг, необходимых для ответа на большие вызовы, стоящие перед Российской Федерацией, Республикой Татарстан, с одновременным созданием механизмов своевременного распознавания таких вызовов; </w:t>
      </w:r>
    </w:p>
    <w:p w:rsidR="007D2913" w:rsidRPr="00FD08EB" w:rsidRDefault="007D2913" w:rsidP="007D2913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адресность поддержки и справедливая конкуренция – использование публичных механизмов для обеспечения доступа к государственным инфраструктурным, финансовым и нефинансовым ресурсам наиболее результативных исследовательских коллективов, иных субъектов научной и научно-технической деятельности независимо от их организационно-правовой формы и формы собственности путем установления соответствующих правил доступа к указанным ресурсам.</w:t>
      </w:r>
    </w:p>
    <w:p w:rsidR="007D2913" w:rsidRPr="00FD08EB" w:rsidRDefault="007D2913" w:rsidP="007D291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28FB" w:rsidRPr="00FD08EB" w:rsidRDefault="00FA28FB" w:rsidP="00FA28FB">
      <w:pPr>
        <w:spacing w:after="0" w:line="240" w:lineRule="auto"/>
        <w:jc w:val="center"/>
        <w:rPr>
          <w:rFonts w:ascii="Times New Roman CYR" w:eastAsia="Calibri" w:hAnsi="Times New Roman CYR" w:cs="Arial"/>
          <w:sz w:val="28"/>
        </w:rPr>
      </w:pPr>
      <w:r w:rsidRPr="00FD08EB">
        <w:rPr>
          <w:rFonts w:ascii="Times New Roman CYR" w:eastAsia="Calibri" w:hAnsi="Times New Roman CYR" w:cs="Arial"/>
          <w:b/>
          <w:sz w:val="28"/>
          <w:szCs w:val="28"/>
          <w:lang w:val="en-US"/>
        </w:rPr>
        <w:t>III</w:t>
      </w:r>
      <w:r w:rsidRPr="00FD08EB">
        <w:rPr>
          <w:rFonts w:ascii="Times New Roman CYR" w:eastAsia="Calibri" w:hAnsi="Times New Roman CYR" w:cs="Arial"/>
          <w:b/>
          <w:sz w:val="28"/>
          <w:szCs w:val="28"/>
        </w:rPr>
        <w:t>. Сведения о взаимосвязи со стратегическими приоритетами, национальными целями и целями Стратегии-2030</w:t>
      </w:r>
    </w:p>
    <w:p w:rsidR="00FA28FB" w:rsidRPr="00FD08EB" w:rsidRDefault="00FA28FB" w:rsidP="00FA28FB">
      <w:pPr>
        <w:spacing w:after="0" w:line="240" w:lineRule="auto"/>
        <w:jc w:val="center"/>
        <w:rPr>
          <w:rFonts w:ascii="Times New Roman CYR" w:eastAsia="Calibri" w:hAnsi="Times New Roman CYR" w:cs="Arial"/>
          <w:sz w:val="28"/>
        </w:rPr>
      </w:pPr>
    </w:p>
    <w:p w:rsidR="00E70D7D" w:rsidRPr="00FD08EB" w:rsidRDefault="00E70D7D" w:rsidP="00E70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Приоритетные направления научно-технологического развития Республики Татарстан согласованы с приоритетами и целями развития Российской Федерации, сформулированными в таких документах, как Указ Президента Российской Федерации от 1 декабря 2016 года № 642 «О Стратегии научно-технологического развития Российской Федерации», Указ Президента Рос</w:t>
      </w:r>
      <w:r w:rsidR="00C34B76" w:rsidRPr="00FD08EB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от 21 января </w:t>
      </w: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2020 года № 20 «Об утверждении Доктрины продовольственной безопасности Российской Федерации», Указ Президента Российской Федерации от 21 июля 2020 года № 474 «О национальных целях развития Российской Федерации на период до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 xml:space="preserve">2030 года», постановление Правительства Российской Федерации от 26 мая 2021 г. </w:t>
      </w:r>
      <w:r w:rsidRPr="00FD08EB">
        <w:rPr>
          <w:rFonts w:ascii="Times New Roman" w:eastAsia="Calibri" w:hAnsi="Times New Roman" w:cs="Times New Roman"/>
          <w:sz w:val="28"/>
          <w:szCs w:val="28"/>
        </w:rPr>
        <w:br/>
        <w:t>№ 786 «О системе управления государственными программами Российской Федерации», распоряжение Правительства Российской Федерации от 1 октября 2021 г. № 2765-р, Закон Республики Татарстан от 17 июня 2015 года № 40-ЗРТ «Об утверждении Стратегии социально-экономического развития Республики</w:t>
      </w:r>
      <w:r w:rsidR="00C34B76" w:rsidRPr="00FD08EB">
        <w:rPr>
          <w:rFonts w:ascii="Times New Roman" w:eastAsia="Calibri" w:hAnsi="Times New Roman" w:cs="Times New Roman"/>
          <w:sz w:val="28"/>
          <w:szCs w:val="28"/>
        </w:rPr>
        <w:t xml:space="preserve"> Татарстан до </w:t>
      </w:r>
      <w:r w:rsidRPr="00FD08EB">
        <w:rPr>
          <w:rFonts w:ascii="Times New Roman" w:eastAsia="Calibri" w:hAnsi="Times New Roman" w:cs="Times New Roman"/>
          <w:sz w:val="28"/>
          <w:szCs w:val="28"/>
        </w:rPr>
        <w:t>2030 года», а также в других долгосрочных отраслевых стратегиях, концепциях и доктринах, принятых и утвержденных на федеральном уровне.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К национальным целям развития Российской Федерации на период до 2030 года отнесены: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1. Сохранение населения, здоровье и благополучие людей.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2. Возможности для самореализации и развития талантов.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3. Комфортная и безопасная среда для жизни.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4. Достойный, эффективный труд и успешное предпринимательство.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>5. Цифровая трансформация.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Указанные национальные цели находят отражение в 12 стратегических приоритетах научно-технологического развития Республики Татарстан в соответствии с идентифицированными </w:t>
      </w:r>
      <w:r w:rsidR="00664F4A" w:rsidRPr="00FD08EB">
        <w:rPr>
          <w:rFonts w:ascii="Times New Roman" w:eastAsia="Calibri" w:hAnsi="Times New Roman" w:cs="Times New Roman"/>
          <w:sz w:val="28"/>
          <w:szCs w:val="28"/>
        </w:rPr>
        <w:t>большими вызовами.</w:t>
      </w:r>
      <w:r w:rsidRPr="00FD08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64F4A" w:rsidRPr="00FD08EB" w:rsidRDefault="0073494B" w:rsidP="0073494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Программа будет вносить наиболее значимый вклад в достижение следующих региональных стратегических целей</w:t>
      </w:r>
      <w:r w:rsidR="00664F4A" w:rsidRPr="00FD08E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64F4A" w:rsidRPr="00FD08EB" w:rsidRDefault="00664F4A" w:rsidP="00664F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- инновации и информация: республика лидирует в развитии умной экономики, создании и коммерциализации новых материалов, продуктов и технологий;</w:t>
      </w:r>
    </w:p>
    <w:p w:rsidR="00664F4A" w:rsidRPr="00FD08EB" w:rsidRDefault="00664F4A" w:rsidP="00664F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- человеческий капитал: накопленный человеческий капитал обеспечивает конкурентоспособность Республики Татарстан, республика лидирует в накоплении человеческого капитала как ключевого актива через создание условий достижения высокого качества жизни;</w:t>
      </w:r>
    </w:p>
    <w:p w:rsidR="0073494B" w:rsidRPr="00FD08EB" w:rsidRDefault="00664F4A" w:rsidP="00664F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- институты: сбалансированная система государственных, частных и государственно-частных институтов обеспечивает устойчивое развитие конкурентоспособных кластеров, предпринимательства (малого и среднего бизнеса), внутреннего территориального развития и внешней интеграции.</w:t>
      </w:r>
    </w:p>
    <w:p w:rsidR="0073494B" w:rsidRPr="00FD08EB" w:rsidRDefault="0073494B" w:rsidP="0073494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130"/>
        <w:tblW w:w="5000" w:type="pct"/>
        <w:tblLook w:val="04A0" w:firstRow="1" w:lastRow="0" w:firstColumn="1" w:lastColumn="0" w:noHBand="0" w:noVBand="1"/>
      </w:tblPr>
      <w:tblGrid>
        <w:gridCol w:w="540"/>
        <w:gridCol w:w="4557"/>
        <w:gridCol w:w="2553"/>
        <w:gridCol w:w="2545"/>
      </w:tblGrid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приоритеты научно-технологического развития в соответствии с идентифицированными большими вызовами, актуальными для региона</w:t>
            </w:r>
          </w:p>
        </w:tc>
        <w:tc>
          <w:tcPr>
            <w:tcW w:w="2500" w:type="pct"/>
            <w:gridSpan w:val="2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Стратегические цели (далее – СЦ), предусмотренные </w:t>
            </w:r>
          </w:p>
          <w:p w:rsidR="0073494B" w:rsidRPr="00FD08EB" w:rsidRDefault="0073494B" w:rsidP="0046503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Стратегией социально-экономического развития Республики Татарстан до 2030 года</w:t>
            </w:r>
          </w:p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изменением климата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СЦ-6 Природные ресурсы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 демографического развития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СЦ-1 Человеческий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Трансформация моделей потребления (социальные трансформации)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СЦ-4 Институты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Новые модели открытых инноваций / новые модели экономического роста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СЦ-4 Институты</w:t>
            </w:r>
          </w:p>
        </w:tc>
      </w:tr>
      <w:tr w:rsidR="0073494B" w:rsidRPr="00FD08EB" w:rsidTr="00D844D4">
        <w:tc>
          <w:tcPr>
            <w:tcW w:w="265" w:type="pct"/>
            <w:vMerge w:val="restar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5" w:type="pct"/>
            <w:vMerge w:val="restar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Динамичность геополитических трансформаций как стимул </w:t>
            </w:r>
            <w:proofErr w:type="spellStart"/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импортозамещения</w:t>
            </w:r>
            <w:proofErr w:type="spellEnd"/>
          </w:p>
        </w:tc>
        <w:tc>
          <w:tcPr>
            <w:tcW w:w="1252" w:type="pct"/>
            <w:vMerge w:val="restar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СЦ-3 Рынки</w:t>
            </w:r>
          </w:p>
        </w:tc>
      </w:tr>
      <w:tr w:rsidR="0073494B" w:rsidRPr="00FD08EB" w:rsidTr="00D844D4">
        <w:tc>
          <w:tcPr>
            <w:tcW w:w="265" w:type="pct"/>
            <w:vMerge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pct"/>
            <w:vMerge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2" w:type="pct"/>
            <w:vMerge/>
            <w:shd w:val="clear" w:color="auto" w:fill="auto"/>
          </w:tcPr>
          <w:p w:rsidR="0073494B" w:rsidRPr="00FD08EB" w:rsidRDefault="0073494B" w:rsidP="004650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СЦ-4 Институты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«Цифровой прогресс» / цифровая трансформация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СЦ-7 Финансовый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Усиление когнитивных и физических возможностей человека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СЦ-7 Финансовый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конкуренции за таланты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СЦ-1 Человеческий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Доступная и чистая энергия (зеленая экономика)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СЦ-6 Природные ресурсы</w:t>
            </w:r>
          </w:p>
        </w:tc>
      </w:tr>
      <w:tr w:rsidR="0073494B" w:rsidRPr="00FD08EB" w:rsidTr="00D844D4">
        <w:trPr>
          <w:trHeight w:val="627"/>
        </w:trPr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 развития мегаполисов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СЦ-2 Пространство, </w:t>
            </w: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реальный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Актуальное и доступное образование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СЦ-1 Человеческий капитал</w:t>
            </w:r>
          </w:p>
        </w:tc>
      </w:tr>
      <w:tr w:rsidR="0073494B" w:rsidRPr="00FD08EB" w:rsidTr="00D844D4">
        <w:tc>
          <w:tcPr>
            <w:tcW w:w="265" w:type="pct"/>
          </w:tcPr>
          <w:p w:rsidR="0073494B" w:rsidRPr="00FD08EB" w:rsidRDefault="0073494B" w:rsidP="00465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35" w:type="pct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Противодействие угрозам пандемии</w:t>
            </w:r>
          </w:p>
        </w:tc>
        <w:tc>
          <w:tcPr>
            <w:tcW w:w="1252" w:type="pct"/>
            <w:shd w:val="clear" w:color="auto" w:fill="auto"/>
          </w:tcPr>
          <w:p w:rsidR="0073494B" w:rsidRPr="00FD08EB" w:rsidRDefault="0073494B" w:rsidP="0046503A">
            <w:pPr>
              <w:rPr>
                <w:rFonts w:eastAsia="Calibri" w:cs="Arial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СЦ-5 Инновации и информация</w:t>
            </w:r>
          </w:p>
        </w:tc>
        <w:tc>
          <w:tcPr>
            <w:tcW w:w="1248" w:type="pct"/>
            <w:shd w:val="clear" w:color="auto" w:fill="auto"/>
          </w:tcPr>
          <w:p w:rsidR="0073494B" w:rsidRPr="00FD08EB" w:rsidRDefault="0073494B" w:rsidP="004650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8EB">
              <w:rPr>
                <w:rFonts w:ascii="Times New Roman" w:eastAsia="Calibri" w:hAnsi="Times New Roman" w:cs="Times New Roman"/>
                <w:sz w:val="24"/>
                <w:szCs w:val="24"/>
              </w:rPr>
              <w:t>СЦ-1 Человеческий капитал</w:t>
            </w:r>
          </w:p>
        </w:tc>
      </w:tr>
    </w:tbl>
    <w:p w:rsidR="0073494B" w:rsidRPr="00FD08EB" w:rsidRDefault="0073494B" w:rsidP="00E70D7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lastRenderedPageBreak/>
        <w:t>Стратегические приоритеты научно-технологического развития Республики Татарстан в соответствии с идентифицированными разномасштабными вызовами предопределяют необходимость определения ключевых направлений развития Республики Татарстан в рамках научно-технологической модернизации. При этом приоритетами научно-технологического развития республики целесообразно считать те направления, которые позволят получить лидерские научные и научно-технические результаты и создать сквозные перспективные технологии на рынках Национальной технологической инициативы, являющиеся основой инновационного развития внутреннего рынка продуктов и услуг, устойчивого положения России на внешнем рынке</w:t>
      </w:r>
      <w:r w:rsidR="008B42DF" w:rsidRPr="00FD08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0D7D" w:rsidRPr="00FD08EB" w:rsidRDefault="00E70D7D" w:rsidP="00DB5A0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08EB">
        <w:rPr>
          <w:rFonts w:ascii="Times New Roman" w:eastAsia="Calibri" w:hAnsi="Times New Roman" w:cs="Times New Roman"/>
          <w:bCs/>
          <w:sz w:val="28"/>
          <w:szCs w:val="28"/>
        </w:rPr>
        <w:t xml:space="preserve">Стратегические цели Стратегии социально-экономического развития </w:t>
      </w:r>
    </w:p>
    <w:p w:rsidR="00E70D7D" w:rsidRPr="00FD08EB" w:rsidRDefault="00E70D7D" w:rsidP="00DB5A0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08EB">
        <w:rPr>
          <w:rFonts w:ascii="Times New Roman" w:eastAsia="Calibri" w:hAnsi="Times New Roman" w:cs="Times New Roman"/>
          <w:bCs/>
          <w:sz w:val="28"/>
          <w:szCs w:val="28"/>
        </w:rPr>
        <w:t>Республики Татарстан до 2030 года</w:t>
      </w:r>
      <w:r w:rsidR="00DB5A08" w:rsidRPr="00FD08EB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7506"/>
      </w:tblGrid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</w:t>
            </w:r>
          </w:p>
          <w:p w:rsidR="00E70D7D" w:rsidRPr="00FD08EB" w:rsidRDefault="00E70D7D" w:rsidP="00E70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Стратегические направления Программы с приоритетами</w:t>
            </w:r>
          </w:p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1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Человеческий капитал: накопленный человеческий капитал обеспечивает конкурентоспособность Республики Татарстан. Республика лидирует в накоплении человеческого капитала как ключевого актива через создание условий достижения высокого качества жизни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2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Пространство, реальный капитал: сбалансированное территориально-пространственное развитие обеспечивает высокую конкурентоспособность среды; инфраструктура глобально конкурентоспособна. Производственные фонды эффективно используются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3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Рынки: отрасли специализации Республики Татарстан конкурентоспособны на межрегиональных и глобальных рынках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4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Институты: сбалансированная система государственных, частных и государственно-частных институтов обеспечивает устойчивое развитие конкурентоспособных кластеров, предпринимательства (малого и среднего бизнеса), внутреннего территориального развития и внешней интеграции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5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Инновации и информация: республика лидирует в развитии умной экономики, создании и коммерциализации новых материалов, продуктов и технологий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6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ресурсы: природные ресурсы эффективно используются на базе принципов устойчивого развития</w:t>
            </w:r>
          </w:p>
        </w:tc>
      </w:tr>
      <w:tr w:rsidR="00E70D7D" w:rsidRPr="00FD08EB" w:rsidTr="005F6B57">
        <w:tc>
          <w:tcPr>
            <w:tcW w:w="1319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Стратегическая  цель 7</w:t>
            </w:r>
          </w:p>
        </w:tc>
        <w:tc>
          <w:tcPr>
            <w:tcW w:w="3681" w:type="pct"/>
          </w:tcPr>
          <w:p w:rsidR="00E70D7D" w:rsidRPr="00FD08EB" w:rsidRDefault="00E70D7D" w:rsidP="00E70D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Финансовый капитал: республика </w:t>
            </w:r>
            <w:proofErr w:type="spellStart"/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>инвестиционно</w:t>
            </w:r>
            <w:proofErr w:type="spellEnd"/>
            <w:r w:rsidRPr="00FD08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привлекательна на мировом уровне. Финансовая система высокоэффективна</w:t>
            </w:r>
          </w:p>
        </w:tc>
      </w:tr>
    </w:tbl>
    <w:p w:rsidR="00E70D7D" w:rsidRPr="00FD08EB" w:rsidRDefault="00E70D7D" w:rsidP="00E70D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28FB" w:rsidRPr="00FD08EB" w:rsidRDefault="00FA28FB" w:rsidP="00FA28FB">
      <w:pPr>
        <w:spacing w:before="90" w:after="0" w:line="240" w:lineRule="auto"/>
        <w:ind w:left="675" w:right="675"/>
        <w:contextualSpacing/>
        <w:jc w:val="center"/>
        <w:rPr>
          <w:rFonts w:ascii="Times New Roman" w:eastAsia="Yu Mincho" w:hAnsi="Times New Roman" w:cs="Times New Roman"/>
          <w:b/>
          <w:sz w:val="28"/>
          <w:szCs w:val="28"/>
          <w:lang w:eastAsia="ru-RU"/>
        </w:rPr>
      </w:pPr>
      <w:r w:rsidRPr="00FD08EB">
        <w:rPr>
          <w:rFonts w:ascii="Times New Roman" w:eastAsia="Yu Mincho" w:hAnsi="Times New Roman" w:cs="Times New Roman"/>
          <w:b/>
          <w:sz w:val="28"/>
          <w:szCs w:val="28"/>
          <w:lang w:val="en-US" w:eastAsia="ru-RU"/>
        </w:rPr>
        <w:lastRenderedPageBreak/>
        <w:t>IV</w:t>
      </w:r>
      <w:r w:rsidRPr="00FD08EB">
        <w:rPr>
          <w:rFonts w:ascii="Times New Roman" w:eastAsia="Yu Mincho" w:hAnsi="Times New Roman" w:cs="Times New Roman"/>
          <w:b/>
          <w:sz w:val="28"/>
          <w:szCs w:val="28"/>
          <w:lang w:eastAsia="ru-RU"/>
        </w:rPr>
        <w:t xml:space="preserve">. Задачи государственного управления, способы их эффективного решения в отраслях экономики и сфере государственного </w:t>
      </w:r>
    </w:p>
    <w:p w:rsidR="00FA28FB" w:rsidRPr="00FD08EB" w:rsidRDefault="00FA28FB" w:rsidP="00FA28FB">
      <w:pPr>
        <w:spacing w:before="90" w:after="0" w:line="240" w:lineRule="auto"/>
        <w:ind w:left="675" w:right="675"/>
        <w:contextualSpacing/>
        <w:jc w:val="center"/>
        <w:rPr>
          <w:rFonts w:ascii="Times New Roman" w:eastAsia="Yu Mincho" w:hAnsi="Times New Roman" w:cs="Times New Roman"/>
          <w:b/>
          <w:sz w:val="28"/>
          <w:szCs w:val="28"/>
          <w:lang w:eastAsia="ru-RU"/>
        </w:rPr>
      </w:pPr>
      <w:r w:rsidRPr="00FD08EB">
        <w:rPr>
          <w:rFonts w:ascii="Times New Roman" w:eastAsia="Yu Mincho" w:hAnsi="Times New Roman" w:cs="Times New Roman"/>
          <w:b/>
          <w:sz w:val="28"/>
          <w:szCs w:val="28"/>
          <w:lang w:eastAsia="ru-RU"/>
        </w:rPr>
        <w:t xml:space="preserve">управления </w:t>
      </w:r>
    </w:p>
    <w:p w:rsidR="00FA28FB" w:rsidRPr="00FD08EB" w:rsidRDefault="00FA28FB" w:rsidP="00FA28FB">
      <w:pPr>
        <w:spacing w:before="90" w:after="0" w:line="240" w:lineRule="auto"/>
        <w:ind w:left="675" w:right="675"/>
        <w:jc w:val="center"/>
        <w:rPr>
          <w:rFonts w:ascii="Times New Roman" w:eastAsia="Yu Mincho" w:hAnsi="Times New Roman" w:cs="Times New Roman"/>
          <w:b/>
          <w:sz w:val="28"/>
          <w:szCs w:val="28"/>
          <w:lang w:eastAsia="ru-RU"/>
        </w:rPr>
      </w:pPr>
    </w:p>
    <w:p w:rsidR="00BB3AA3" w:rsidRPr="00FD08EB" w:rsidRDefault="00BB3AA3" w:rsidP="00BB3AA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Для достижения цели научно-технологического развития Республики Татарстан необходимо решить следующие основные задачи:</w:t>
      </w:r>
    </w:p>
    <w:p w:rsidR="00BB3AA3" w:rsidRPr="00FD08EB" w:rsidRDefault="00BB3AA3" w:rsidP="00BB3AA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а) создать открытую и конкурентную научно-образовательную и инновационную инфраструктуру и действенную систему институциональной поддержки и регулирования научно-технологической сферы;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б)</w:t>
      </w:r>
      <w:bookmarkStart w:id="3" w:name="_Hlk108515686"/>
      <w:r w:rsidRPr="00FD08EB">
        <w:rPr>
          <w:rFonts w:ascii="Times New Roman" w:eastAsia="Times New Roman" w:hAnsi="Times New Roman" w:cs="Times New Roman"/>
          <w:sz w:val="28"/>
          <w:szCs w:val="28"/>
        </w:rPr>
        <w:t xml:space="preserve"> создать условия для привлечения и самореализации талантов, в том числе одаренной молодежи, в области науки, технологий и инноваций; </w:t>
      </w:r>
      <w:bookmarkEnd w:id="3"/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 xml:space="preserve">в) сформировать условия, при которых обучающийся мог бы не только получить знания, навыки, компетенции и квалификацию, но и материализовать идею, «собрать» перспективный и востребованный проект, подобрать команду и создать предприятие; 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г)</w:t>
      </w:r>
      <w:bookmarkStart w:id="4" w:name="_Hlk108515705"/>
      <w:r w:rsidRPr="00FD08EB">
        <w:rPr>
          <w:rFonts w:ascii="Times New Roman" w:eastAsia="Times New Roman" w:hAnsi="Times New Roman" w:cs="Times New Roman"/>
          <w:sz w:val="28"/>
          <w:szCs w:val="28"/>
        </w:rPr>
        <w:t> сформировать рынок интеллектуальных продуктов и результатов инновационной деятельности</w:t>
      </w:r>
      <w:bookmarkEnd w:id="4"/>
      <w:r w:rsidRPr="00FD08E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д)</w:t>
      </w:r>
      <w:bookmarkStart w:id="5" w:name="_Hlk108515738"/>
      <w:r w:rsidRPr="00FD08EB">
        <w:rPr>
          <w:rFonts w:ascii="Times New Roman" w:eastAsia="Times New Roman" w:hAnsi="Times New Roman" w:cs="Times New Roman"/>
          <w:sz w:val="28"/>
          <w:szCs w:val="28"/>
        </w:rPr>
        <w:t> создать условия для проведения исследований и разработок по приоритетным рынкам и технологиям, соответствующие современным принципам организации научной, научно-технической, инновационной деятельности и лучшим российским и мировым практикам; </w:t>
      </w:r>
    </w:p>
    <w:bookmarkEnd w:id="5"/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е) сформировать эффективную систему коммуникации в области науки, технологий, инноваций между научным сообществом и реальным сектором, создав условия для развития наукоемкого бизнеса;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ж) сформировать эффективную современную систему управления и саморегулирования в области науки, технологий и инноваций, обеспечивающую повышение инвестиционной привлекательности сферы исследований и разработок, а также эффективности капиталовложений в указанную сферу, результативности и востребованности исследований и разработок;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з) способствовать формированию модели международного научно-технического сотрудничества и международной интеграции в области исследований и технологического развития, позволяющей защитить государственные интересы в условиях интернационализации науки и повысить эффективность региональной науки за счет взаимовыгодного международного взаимодействия;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</w:rPr>
        <w:t>и) содействовать исследованиям национально-культурного многообразия.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принципиально изменить роль науки и технологий в развитии общества, экономики и государства и привести к следующим результатам: 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обеспечить готовность Татарстана к существующим и возникающим глобальным, большим и региональным вызовам на основе генерации и применения новых знаний и эффективного использования человеческого потенциала; 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повысить качество жизни населения за счет создания на основе передовых научных исследований востребованных продуктов, товаров и услуг; 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обеспечить технологическое обновление традиционных для региона отраслей экономики и увеличение доли продукции новых высокотехнологичных, наукоемких и креативных отраслей в валовом региональном продукте на основе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структурных изменений экономики республики; </w:t>
      </w:r>
    </w:p>
    <w:p w:rsidR="00BB3AA3" w:rsidRPr="00FD08EB" w:rsidRDefault="00BB3AA3" w:rsidP="00BB3AA3">
      <w:pPr>
        <w:widowControl w:val="0"/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обеспечить продвижение отечественных технологий и инновационных продуктов на новые рынки, рост доходов от экспорта высокотехнологичной продукции, услуг и прав на технологии и, как следствие, усиление влияния и конкурентоспособности страны в мире; 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д) создать эффективную систему организации исследований и разработок, обеспечивающую высокую результативность и востребованность в социально-экономической сфере исследований и разработок, рост инвестиций в исследования и разработки и увеличение доли частных инвестиций во внутренних затратах на исследования и разработки, привлекательность работы для наиболее перспективных исследователей и повышение роли российской науки в мире; 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е) обеспечить рост влияния науки на технологическую культуру, повышение степени понимания политических, экономических, культурных, информационных и иных происходящих в современном обществе процессов и воздействующих на них разнообразных природных, социальных и техногенных факторов, а также обеспечить повышение степени организации общественных отношений и содействовать предупреждению социальных конфликтов. 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сфера образования, науки, технологий и инноваций должна функционировать как единая система, интегрированная с социально-экономической системой и обеспечивающая конкурентоспособность ключевых секторов. 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Программы будут достигнуты следующие основные результаты научного и технологического развития региона: 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обеспечено развитие высокотехнологичных и наукоемких производств за счет интенсификации потенциала образовательного комплекса региона, подготовки и накопления высококвалифицированных кадров в сфере научно-исследовательской и инновационной деятельности, повышения уровня научно-образовательного резерва населения на всей территории республики. Ожидаемые результаты основных показателей следующие </w:t>
      </w:r>
      <w:r w:rsidRPr="00FD08EB">
        <w:rPr>
          <w:rFonts w:ascii="Times New Roman" w:eastAsia="Times New Roman" w:hAnsi="Times New Roman" w:cs="Times New Roman"/>
          <w:sz w:val="28"/>
          <w:lang w:eastAsia="ru-RU"/>
        </w:rPr>
        <w:t>(2030 год к уровню 2021 года):</w:t>
      </w:r>
      <w:r w:rsidRPr="00FD08EB">
        <w:rPr>
          <w:rFonts w:ascii="Times New Roman" w:eastAsia="Times New Roman" w:hAnsi="Times New Roman" w:cs="Times New Roman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удельного веса населения с высшим образованием в 1,17 раза;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количества студентов в расчете на 10 </w:t>
      </w:r>
      <w:proofErr w:type="spellStart"/>
      <w:proofErr w:type="gramStart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тыс.населения</w:t>
      </w:r>
      <w:proofErr w:type="spellEnd"/>
      <w:proofErr w:type="gramEnd"/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1,16 раза;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иностранных студентов в общей численности студентов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1,5 раза;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магистрантов и аспирантов в общей численности студентов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1,5 раза;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доли валовой добавленной стоимости по виду экономической деятельности «Образование» в 1,4 раза;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созданы эффективная научно-исследовательская среда региона и условия для проведения исследований и разработок, соответствующие современным принципам организации научной, научно-технической, инновационной деятельности и лучшим российским и мировым практикам, посредством формирования продуктивной системы кооперации технологического бизнеса, науки и образования. Ожидаемые результаты основных показателей следующие </w:t>
      </w:r>
      <w:r w:rsidRPr="00FD08EB">
        <w:rPr>
          <w:rFonts w:ascii="Times New Roman" w:eastAsia="Times New Roman" w:hAnsi="Times New Roman" w:cs="Times New Roman"/>
          <w:sz w:val="28"/>
          <w:lang w:eastAsia="ru-RU"/>
        </w:rPr>
        <w:t>(2030 год к уровню 2021 года):</w:t>
      </w:r>
      <w:r w:rsidRPr="00FD08EB">
        <w:rPr>
          <w:rFonts w:ascii="Times New Roman" w:eastAsia="Times New Roman" w:hAnsi="Times New Roman" w:cs="Times New Roman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численности персонала, занятого научными исследованиями и разработками, в 3 раза;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рост количества публикаций в ядре Российского индекса научного цитирования в расчете на численность персонала, занятого научными исследованиями и разработками, до 0,7 единицы (базовое значение – 0,34);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количества цитирований за пятилетний период в ядре Российского индекса научного цитирования в расчете на численность персонала, занятого научными исследованиями и разработками, до 20,9 (базовое значение – 7,5);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Yu Mincho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Yu Mincho" w:hAnsi="Times New Roman" w:cs="Times New Roman"/>
          <w:sz w:val="28"/>
          <w:szCs w:val="28"/>
          <w:lang w:eastAsia="ru-RU"/>
        </w:rPr>
        <w:t>увеличение доли валовой добавленной стоимости по виду экономической деятельности «Деятельность профессиональная, научная и техническая» в 1,4 раза;</w:t>
      </w:r>
      <w:r w:rsidRPr="00FD08EB">
        <w:rPr>
          <w:rFonts w:ascii="Times New Roman" w:eastAsia="Yu Mincho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внутренних затрат на научные исследования и разработки в ВРП в 2,7 раза;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созданы условия для повышения изобретательской и инновационной активности населения и промышленности и активизации и интенсификации деятельности технологического и инновационного предпринимательства, в том числе малого и среднего предпринимательства. Ожидаемые результаты основных показателей следующие </w:t>
      </w:r>
      <w:r w:rsidRPr="00FD08EB">
        <w:rPr>
          <w:rFonts w:ascii="Times New Roman" w:eastAsia="Times New Roman" w:hAnsi="Times New Roman" w:cs="Times New Roman"/>
          <w:sz w:val="28"/>
          <w:lang w:eastAsia="ru-RU"/>
        </w:rPr>
        <w:t>(2030 год к уровню 2021 года):</w:t>
      </w:r>
      <w:r w:rsidRPr="00FD08EB">
        <w:rPr>
          <w:rFonts w:ascii="Times New Roman" w:eastAsia="Times New Roman" w:hAnsi="Times New Roman" w:cs="Times New Roman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количества отечественных патентных заявок на изобретения в 1,5 раза;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затрат на инновационную деятельность организаций в процентах от общего объема отгруженных товаров, выполненных работ, услуг в 2 раза; 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доли бюджетных средств в общих затратах на инновационную деятельность организаций в 3,8 раза;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доли продукции высокотехнологичных и наукоемких отраслей в ВРП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1,2 раза; 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доли малого и среднего предпринимательства в ВРП в 1,1 раза;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накоплен эффективный интеллектуальный человеческий капитал и создана привлекательная среда в сфере научно-технической, инновационной, образовательной деятельности. Ожидаемые результаты основных показателей следующие: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научно-педагогических работников, имеющих ученую степень, до 80 процентов;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молодых научно-педагогических работников (до 39 лет)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1,2 раза;</w:t>
      </w:r>
      <w:r w:rsidRPr="00FD08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отношения заработной платы научно-педагогических работников к средней по экономике региона в 1,18 раза;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обеспечено развитие инновационных промышленных и технологических направлений региона посредством усиления инфраструктуры системообразующих организаций научно-исследовательского сектора и новых промышленных высокотехнологических рынков. Ожидаемые результаты основных показателей следующие: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rPr>
          <w:rFonts w:ascii="Times New Roman" w:eastAsia="Calibri" w:hAnsi="Times New Roman" w:cs="Arial"/>
          <w:sz w:val="28"/>
          <w:lang w:eastAsia="ru-RU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увеличение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фондовооруженности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 xml:space="preserve"> образовательных организаций высшего образования в расчете </w:t>
      </w:r>
      <w:r w:rsidRPr="00FD08EB">
        <w:rPr>
          <w:rFonts w:ascii="Times New Roman" w:eastAsia="Calibri" w:hAnsi="Times New Roman" w:cs="Arial"/>
          <w:sz w:val="28"/>
          <w:lang w:eastAsia="ru-RU"/>
        </w:rPr>
        <w:t>на численность научно-педагогических работников в 3 раза; 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rPr>
          <w:rFonts w:ascii="Times New Roman" w:eastAsia="Calibri" w:hAnsi="Times New Roman" w:cs="Arial"/>
          <w:sz w:val="28"/>
          <w:lang w:eastAsia="ru-RU"/>
        </w:rPr>
      </w:pPr>
      <w:r w:rsidRPr="00FD08EB">
        <w:rPr>
          <w:rFonts w:ascii="Times New Roman" w:eastAsia="Calibri" w:hAnsi="Times New Roman" w:cs="Arial"/>
          <w:sz w:val="28"/>
          <w:lang w:eastAsia="ru-RU"/>
        </w:rPr>
        <w:t xml:space="preserve">увеличение </w:t>
      </w:r>
      <w:proofErr w:type="spellStart"/>
      <w:r w:rsidRPr="00FD08EB">
        <w:rPr>
          <w:rFonts w:ascii="Times New Roman" w:eastAsia="Calibri" w:hAnsi="Times New Roman" w:cs="Arial"/>
          <w:sz w:val="28"/>
          <w:lang w:eastAsia="ru-RU"/>
        </w:rPr>
        <w:t>фондовооруженности</w:t>
      </w:r>
      <w:proofErr w:type="spellEnd"/>
      <w:r w:rsidRPr="00FD08EB">
        <w:rPr>
          <w:rFonts w:ascii="Times New Roman" w:eastAsia="Calibri" w:hAnsi="Times New Roman" w:cs="Arial"/>
          <w:sz w:val="28"/>
          <w:lang w:eastAsia="ru-RU"/>
        </w:rPr>
        <w:t xml:space="preserve"> организаций в области науки и исследований в расчете на численность персонала, занятого научными исследованиями и разработками, в 2 раза; 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rPr>
          <w:rFonts w:ascii="Times New Roman" w:eastAsia="Calibri" w:hAnsi="Times New Roman" w:cs="Arial"/>
          <w:sz w:val="28"/>
          <w:lang w:eastAsia="ru-RU"/>
        </w:rPr>
      </w:pPr>
      <w:r w:rsidRPr="00FD08EB">
        <w:rPr>
          <w:rFonts w:ascii="Times New Roman" w:eastAsia="Calibri" w:hAnsi="Times New Roman" w:cs="Arial"/>
          <w:sz w:val="28"/>
          <w:lang w:eastAsia="ru-RU"/>
        </w:rPr>
        <w:t xml:space="preserve">увеличение площади общежитий на 1 студента очной формы обучения </w:t>
      </w:r>
      <w:r w:rsidRPr="00FD08EB">
        <w:rPr>
          <w:rFonts w:ascii="Times New Roman" w:eastAsia="Calibri" w:hAnsi="Times New Roman" w:cs="Arial"/>
          <w:sz w:val="28"/>
          <w:lang w:eastAsia="ru-RU"/>
        </w:rPr>
        <w:br/>
        <w:t>в 1,9 раза;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rPr>
          <w:rFonts w:ascii="Times New Roman" w:eastAsia="Calibri" w:hAnsi="Times New Roman" w:cs="Arial"/>
          <w:sz w:val="28"/>
          <w:lang w:eastAsia="ru-RU"/>
        </w:rPr>
      </w:pPr>
      <w:r w:rsidRPr="00FD08EB">
        <w:rPr>
          <w:rFonts w:ascii="Times New Roman" w:eastAsia="Calibri" w:hAnsi="Times New Roman" w:cs="Arial"/>
          <w:sz w:val="28"/>
          <w:lang w:eastAsia="ru-RU"/>
        </w:rPr>
        <w:t>увеличение площади учебно-лабораторных зданий на 1 студента очной формы обучения в 1,4 раза. </w:t>
      </w:r>
    </w:p>
    <w:p w:rsidR="00BB3AA3" w:rsidRPr="00FD08EB" w:rsidRDefault="00BB3AA3" w:rsidP="00BB3AA3">
      <w:pPr>
        <w:widowControl w:val="0"/>
        <w:spacing w:after="0" w:line="228" w:lineRule="auto"/>
        <w:ind w:firstLine="709"/>
        <w:jc w:val="both"/>
        <w:rPr>
          <w:rFonts w:ascii="Times New Roman" w:eastAsia="Calibri" w:hAnsi="Times New Roman" w:cs="Arial"/>
          <w:sz w:val="28"/>
          <w:lang w:eastAsia="ru-RU"/>
        </w:rPr>
      </w:pPr>
      <w:r w:rsidRPr="00FD08EB">
        <w:rPr>
          <w:rFonts w:ascii="Times New Roman" w:eastAsia="Calibri" w:hAnsi="Times New Roman" w:cs="Arial"/>
          <w:sz w:val="28"/>
          <w:lang w:eastAsia="ru-RU"/>
        </w:rPr>
        <w:lastRenderedPageBreak/>
        <w:t>Достижение стратегической задачи Программы позволит упрочить позиции и придать новый импульс развитию ключевых научных школ</w:t>
      </w:r>
      <w:r w:rsidRPr="00FD08EB">
        <w:rPr>
          <w:rFonts w:ascii="Times New Roman CYR" w:eastAsia="Calibri" w:hAnsi="Times New Roman CYR" w:cs="Arial"/>
          <w:sz w:val="28"/>
          <w:vertAlign w:val="superscript"/>
        </w:rPr>
        <w:t xml:space="preserve"> </w:t>
      </w:r>
      <w:r w:rsidRPr="00FD08EB">
        <w:rPr>
          <w:rFonts w:ascii="Times New Roman" w:eastAsia="Calibri" w:hAnsi="Times New Roman" w:cs="Arial"/>
          <w:sz w:val="28"/>
          <w:lang w:eastAsia="ru-RU"/>
        </w:rPr>
        <w:t>и вывести Республику Татарстан к 2030 году в число:</w:t>
      </w:r>
    </w:p>
    <w:p w:rsidR="00BB3AA3" w:rsidRPr="00FD08EB" w:rsidRDefault="00BB3AA3" w:rsidP="00BB3AA3">
      <w:pPr>
        <w:widowControl w:val="0"/>
        <w:tabs>
          <w:tab w:val="left" w:pos="286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мировых лидеров в сферах нефтегазового дела, образования и лингвистики (в том числе с учетом предметного рейтинга </w:t>
      </w:r>
      <w:r w:rsidRPr="00FD0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QS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текущие позиции: 100 – 200);</w:t>
      </w:r>
    </w:p>
    <w:p w:rsidR="00BB3AA3" w:rsidRPr="00FD08EB" w:rsidRDefault="00BB3AA3" w:rsidP="00BB3AA3">
      <w:pPr>
        <w:widowControl w:val="0"/>
        <w:tabs>
          <w:tab w:val="left" w:pos="286"/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топ-3 ведущих российских научно-образовательных центров в области медицины, биологических наук, гуманитарных наук и искусстве, социальных наук, наук о жизни, наук о Земле, сельскохозяйственных наука, химических технологиях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том числе с учетом предметного рейтинга </w:t>
      </w:r>
      <w:r w:rsidRPr="00FD0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RAEX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текущие позиции: 3 – 12);</w:t>
      </w:r>
    </w:p>
    <w:p w:rsidR="00BB3AA3" w:rsidRPr="00FD08EB" w:rsidRDefault="00BB3AA3" w:rsidP="00BB3AA3">
      <w:pPr>
        <w:widowControl w:val="0"/>
        <w:tabs>
          <w:tab w:val="left" w:pos="286"/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топ-5 ведущих российских научно-образовательных центров в области математики, компьютерных наук, бизнеса и экономики (в том числе с учетом предметного рейтинга </w:t>
      </w:r>
      <w:r w:rsidRPr="00FD0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RAEX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текущие позиции: 9 – 13);</w:t>
      </w:r>
    </w:p>
    <w:p w:rsidR="00BB3AA3" w:rsidRPr="00FD08EB" w:rsidRDefault="00BB3AA3" w:rsidP="00BB3AA3">
      <w:pPr>
        <w:widowControl w:val="0"/>
        <w:tabs>
          <w:tab w:val="left" w:pos="286"/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топ-10 ведущих российских научно-образовательных центров в области физики и астрономии, химии, инженерных наук и технологий (в том числе с учетом предметного рейтинга </w:t>
      </w:r>
      <w:r w:rsidRPr="00FD0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RAEX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текущие позиции: 10 – 20);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35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ведущих российских лидеров по развитию </w:t>
      </w:r>
      <w:r w:rsidRPr="00FD08EB">
        <w:rPr>
          <w:rFonts w:ascii="Times New Roman" w:eastAsia="Times New Roman" w:hAnsi="Times New Roman" w:cs="Times New Roman"/>
          <w:sz w:val="30"/>
          <w:szCs w:val="30"/>
          <w:shd w:val="clear" w:color="auto" w:fill="FDFDFD"/>
          <w:lang w:eastAsia="ru-RU"/>
        </w:rPr>
        <w:t>креативной экономики по версии Атласа креативных индустрий Российской Федерации, разработанного экспертами Центра городских компетенций Агентства стратегических инициатив (текущая позиция: 13)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AA3" w:rsidRPr="00FD08EB" w:rsidRDefault="00BB3AA3" w:rsidP="00BB3AA3">
      <w:pPr>
        <w:widowControl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В результате реализации последовательной научно-технической политики в Республике Татарстан планируется глобальное и национальное укрепление и позиционирование следующих важнейших научных школ, обладающих значительными компетенциями, огромным потенциалом и инфраструктурой для развития и вносящих определяющий вклад в развитие территории:</w:t>
      </w:r>
    </w:p>
    <w:p w:rsidR="00BB3AA3" w:rsidRPr="00FD08EB" w:rsidRDefault="00BB3AA3" w:rsidP="00BB3AA3">
      <w:pPr>
        <w:widowControl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8EB">
        <w:rPr>
          <w:rFonts w:ascii="Times New Roman" w:eastAsia="Calibri" w:hAnsi="Times New Roman" w:cs="Times New Roman"/>
          <w:sz w:val="28"/>
          <w:szCs w:val="28"/>
        </w:rPr>
        <w:t>а) естественно-научное направление:</w:t>
      </w:r>
    </w:p>
    <w:p w:rsidR="00BB3AA3" w:rsidRPr="00FD08EB" w:rsidRDefault="00BB3AA3" w:rsidP="00BB3AA3">
      <w:pPr>
        <w:spacing w:after="0" w:line="245" w:lineRule="auto"/>
        <w:ind w:firstLine="709"/>
        <w:jc w:val="both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</w:rPr>
        <w:t xml:space="preserve">нефтегазовый инжиниринг (опорные вузы – </w:t>
      </w:r>
      <w:r w:rsidRPr="00FD08EB">
        <w:rPr>
          <w:rFonts w:ascii="Times New Roman CYR" w:eastAsia="Calibri" w:hAnsi="Times New Roman CYR" w:cs="Arial"/>
          <w:sz w:val="28"/>
          <w:szCs w:val="28"/>
        </w:rPr>
        <w:t>федеральное государственное автономное образовательное учреждение высшего образования «Казанский (Приволжский) федеральный университет» (далее – КФУ)</w:t>
      </w:r>
      <w:r w:rsidRPr="00FD08EB">
        <w:rPr>
          <w:rFonts w:ascii="Times New Roman CYR" w:eastAsia="Calibri" w:hAnsi="Times New Roman CYR" w:cs="Arial"/>
          <w:sz w:val="28"/>
        </w:rPr>
        <w:t xml:space="preserve">, </w:t>
      </w:r>
      <w:r w:rsidRPr="00FD08EB">
        <w:rPr>
          <w:rFonts w:ascii="Times New Roman CYR" w:eastAsia="Calibri" w:hAnsi="Times New Roman CYR" w:cs="Arial"/>
          <w:sz w:val="28"/>
          <w:szCs w:val="28"/>
        </w:rPr>
        <w:t>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 (далее – КНИТУ)</w:t>
      </w:r>
      <w:r w:rsidR="007D16F4" w:rsidRPr="00FD08EB">
        <w:rPr>
          <w:rFonts w:ascii="Times New Roman CYR" w:eastAsia="Calibri" w:hAnsi="Times New Roman CYR" w:cs="Arial"/>
          <w:sz w:val="28"/>
          <w:szCs w:val="28"/>
        </w:rPr>
        <w:t>,</w:t>
      </w:r>
      <w:r w:rsidRPr="00FD08EB">
        <w:rPr>
          <w:rFonts w:ascii="Times New Roman CYR" w:eastAsia="Calibri" w:hAnsi="Times New Roman CYR" w:cs="Arial"/>
          <w:sz w:val="28"/>
          <w:szCs w:val="28"/>
        </w:rPr>
        <w:t xml:space="preserve"> государственное бюджетное образовательное учреждение высшего образования «Альметьевский государственный нефтяной институт»;</w:t>
      </w:r>
    </w:p>
    <w:p w:rsidR="00BB3AA3" w:rsidRPr="00FD08EB" w:rsidRDefault="00BB3AA3" w:rsidP="00BB3AA3">
      <w:pPr>
        <w:spacing w:after="0" w:line="245" w:lineRule="auto"/>
        <w:ind w:firstLine="709"/>
        <w:jc w:val="both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сельское хозяйство (КФУ, федеральное государственное бюджетное образовательное учреждение высшего образования «Казанский государственный аграрный университет», федеральное государственное бюджетное образовательное учреждение высшего образования «Казанская государственная академия ветеринарной медицины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им.Н.Э.Баумана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>», федеральное государственное бюджетное образовательное учреждение высшего образования «Казанский государственный энергетический университет»);</w:t>
      </w:r>
    </w:p>
    <w:p w:rsidR="00BB3AA3" w:rsidRPr="00FD08EB" w:rsidRDefault="00BB3AA3" w:rsidP="00BB3AA3">
      <w:pPr>
        <w:spacing w:after="0" w:line="245" w:lineRule="auto"/>
        <w:ind w:firstLine="709"/>
        <w:jc w:val="both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химические технологии (КФУ, КНИТУ, 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им.А.Н.Туполева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>-КАИ», федеральное государственное бюджетное образовательное учреждение высшего образования «Казанский государственный энергетический университет»);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5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медицина (КФУ, федеральное государственное бюджетное образовательное </w:t>
      </w:r>
      <w:r w:rsidRPr="00FD08EB">
        <w:rPr>
          <w:rFonts w:ascii="Times New Roman CYR" w:eastAsia="Calibri" w:hAnsi="Times New Roman CYR" w:cs="Arial"/>
          <w:sz w:val="28"/>
          <w:szCs w:val="28"/>
        </w:rPr>
        <w:lastRenderedPageBreak/>
        <w:t>учреждение высшего образования «Казанский государственный медицинский университет» Министерства здравоохранения Российской Федерации, филиал федерального государственного бюджетного образовательного учреждения дополнительного профессионального образования «Российская медицинская академия непрерывного профессионального образования» Министерства здравоохранения Российской Федерации);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5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математика (КФУ, КНИТУ, 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им.А.Н.Туполева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>-КАИ»);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5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компьютерные науки (КФУ, автономная некоммерческая организация высшего образования «Университет Иннополис», 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им.А.Н.Туполева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>-КАИ»);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5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биология (КФУ, федеральное государственное бюджетное образовательное учреждение высшего образования «Казанский государственный медицинский университет» Министерства здравоохранения Российской Федерации);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5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физика (КФУ, 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им.А.Н.Туполева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>-КАИ», федеральное государственное бюджетное образовательное учреждение высшего образования «Казанский государственный энергетический университет», федеральное государственное бюджетное учреждение науки «Федеральный исследовательский центр «Казанский научный центр Российской академии наук»);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химия (КФУ, КНИТУ, федеральное государственное бюджетное учреждение науки «Федеральный исследовательский центр «Казанский научный центр Российской академии наук»);</w:t>
      </w:r>
    </w:p>
    <w:p w:rsidR="00BB3AA3" w:rsidRPr="00FD08EB" w:rsidRDefault="00BB3AA3" w:rsidP="00BB3AA3">
      <w:pPr>
        <w:widowControl w:val="0"/>
        <w:spacing w:after="0" w:line="240" w:lineRule="auto"/>
        <w:ind w:firstLine="709"/>
        <w:jc w:val="both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 xml:space="preserve">б) </w:t>
      </w:r>
      <w:proofErr w:type="spellStart"/>
      <w:r w:rsidRPr="00FD08EB">
        <w:rPr>
          <w:rFonts w:ascii="Times New Roman CYR" w:eastAsia="Calibri" w:hAnsi="Times New Roman CYR" w:cs="Arial"/>
          <w:sz w:val="28"/>
          <w:szCs w:val="28"/>
        </w:rPr>
        <w:t>социогуманитарное</w:t>
      </w:r>
      <w:proofErr w:type="spellEnd"/>
      <w:r w:rsidRPr="00FD08EB">
        <w:rPr>
          <w:rFonts w:ascii="Times New Roman CYR" w:eastAsia="Calibri" w:hAnsi="Times New Roman CYR" w:cs="Arial"/>
          <w:sz w:val="28"/>
          <w:szCs w:val="28"/>
        </w:rPr>
        <w:t xml:space="preserve"> направление: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образование (опорные вузы – КФУ, федеральное государственное бюджетное образовательное учреждение высшего образования «Набережночелнинский государственный педагогический университет»);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история (КФУ, государственн</w:t>
      </w:r>
      <w:r w:rsidR="00BB698E" w:rsidRPr="00FD08EB">
        <w:rPr>
          <w:rFonts w:ascii="Times New Roman CYR" w:eastAsia="Calibri" w:hAnsi="Times New Roman CYR" w:cs="Arial"/>
          <w:sz w:val="28"/>
          <w:szCs w:val="28"/>
        </w:rPr>
        <w:t>ое научное бюджетное учреждение</w:t>
      </w:r>
      <w:r w:rsidRPr="00FD08EB">
        <w:rPr>
          <w:rFonts w:ascii="Times New Roman CYR" w:eastAsia="Calibri" w:hAnsi="Times New Roman CYR" w:cs="Arial"/>
          <w:sz w:val="28"/>
          <w:szCs w:val="28"/>
        </w:rPr>
        <w:t xml:space="preserve"> «Академия наук Республики Татарстан»);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гуманитарные науки и искусство (ф</w:t>
      </w:r>
      <w:r w:rsidRPr="00FD08EB">
        <w:rPr>
          <w:rFonts w:ascii="Times New Roman CYR" w:eastAsia="Calibri" w:hAnsi="Times New Roman CYR" w:cs="Arial"/>
          <w:sz w:val="28"/>
          <w:szCs w:val="28"/>
        </w:rPr>
        <w:t>едеральное государственное бюджетное образовательное учреждение высшего образования «Казанский государственный институт культуры»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347"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«Казанская государственная консерватория имени Н. Г. Жиганова», </w:t>
      </w:r>
      <w:r w:rsidRPr="00FD08EB">
        <w:rPr>
          <w:rFonts w:ascii="Times New Roman" w:eastAsia="Times New Roman" w:hAnsi="Times New Roman" w:cs="Times New Roman"/>
          <w:sz w:val="28"/>
          <w:szCs w:val="28"/>
          <w:lang w:eastAsia="ru-RU"/>
        </w:rPr>
        <w:t>КФУ);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лингвистика (КФУ, государственн</w:t>
      </w:r>
      <w:r w:rsidR="00BB698E" w:rsidRPr="00FD08EB">
        <w:rPr>
          <w:rFonts w:ascii="Times New Roman CYR" w:eastAsia="Calibri" w:hAnsi="Times New Roman CYR" w:cs="Arial"/>
          <w:sz w:val="28"/>
          <w:szCs w:val="28"/>
        </w:rPr>
        <w:t>ое научное бюджетное учреждение</w:t>
      </w:r>
      <w:r w:rsidRPr="00FD08EB">
        <w:rPr>
          <w:rFonts w:ascii="Times New Roman CYR" w:eastAsia="Calibri" w:hAnsi="Times New Roman CYR" w:cs="Arial"/>
          <w:sz w:val="28"/>
          <w:szCs w:val="28"/>
        </w:rPr>
        <w:t xml:space="preserve"> «Академия наук Республики Татарстан»);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право (КФУ);</w:t>
      </w:r>
    </w:p>
    <w:p w:rsidR="00BB3AA3" w:rsidRPr="00FD08EB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бизнес и экономика (КФУ).</w:t>
      </w:r>
    </w:p>
    <w:p w:rsidR="00BB3AA3" w:rsidRPr="007D2913" w:rsidRDefault="00BB3AA3" w:rsidP="00BB3AA3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 CYR" w:eastAsia="Calibri" w:hAnsi="Times New Roman CYR" w:cs="Arial"/>
          <w:sz w:val="28"/>
          <w:szCs w:val="28"/>
        </w:rPr>
      </w:pPr>
      <w:r w:rsidRPr="00FD08EB">
        <w:rPr>
          <w:rFonts w:ascii="Times New Roman CYR" w:eastAsia="Calibri" w:hAnsi="Times New Roman CYR" w:cs="Arial"/>
          <w:sz w:val="28"/>
          <w:szCs w:val="28"/>
        </w:rPr>
        <w:t>Девиз Программы – КАЗАНЫШ (в переводе с татарского языка – «достижение, успех, победа»).</w:t>
      </w:r>
      <w:bookmarkStart w:id="6" w:name="_GoBack"/>
      <w:bookmarkEnd w:id="6"/>
    </w:p>
    <w:p w:rsidR="00BB3AA3" w:rsidRPr="00FA28FB" w:rsidRDefault="00BB3AA3" w:rsidP="00FA28FB">
      <w:pPr>
        <w:spacing w:before="90" w:after="0" w:line="240" w:lineRule="auto"/>
        <w:ind w:left="675" w:right="675"/>
        <w:jc w:val="center"/>
        <w:rPr>
          <w:rFonts w:ascii="Times New Roman" w:eastAsia="Yu Mincho" w:hAnsi="Times New Roman" w:cs="Times New Roman"/>
          <w:sz w:val="28"/>
          <w:szCs w:val="28"/>
          <w:lang w:eastAsia="ru-RU"/>
        </w:rPr>
      </w:pPr>
    </w:p>
    <w:sectPr w:rsidR="00BB3AA3" w:rsidRPr="00FA28FB" w:rsidSect="007B444A">
      <w:pgSz w:w="11906" w:h="16838"/>
      <w:pgMar w:top="1134" w:right="567" w:bottom="1134" w:left="1134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1D" w:rsidRDefault="002D191D" w:rsidP="00FA28FB">
      <w:pPr>
        <w:spacing w:after="0" w:line="240" w:lineRule="auto"/>
      </w:pPr>
      <w:r>
        <w:separator/>
      </w:r>
    </w:p>
  </w:endnote>
  <w:endnote w:type="continuationSeparator" w:id="0">
    <w:p w:rsidR="002D191D" w:rsidRDefault="002D191D" w:rsidP="00FA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44A" w:rsidRDefault="007B44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44A" w:rsidRDefault="007B444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44A" w:rsidRDefault="007B44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1D" w:rsidRDefault="002D191D" w:rsidP="00FA28FB">
      <w:pPr>
        <w:spacing w:after="0" w:line="240" w:lineRule="auto"/>
      </w:pPr>
      <w:r>
        <w:separator/>
      </w:r>
    </w:p>
  </w:footnote>
  <w:footnote w:type="continuationSeparator" w:id="0">
    <w:p w:rsidR="002D191D" w:rsidRDefault="002D191D" w:rsidP="00FA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44A" w:rsidRDefault="007B44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44A" w:rsidRPr="007B444A" w:rsidRDefault="007B444A" w:rsidP="007B444A">
    <w:pPr>
      <w:pStyle w:val="af1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431611"/>
      <w:docPartObj>
        <w:docPartGallery w:val="Page Numbers (Top of Page)"/>
        <w:docPartUnique/>
      </w:docPartObj>
    </w:sdtPr>
    <w:sdtEndPr/>
    <w:sdtContent>
      <w:p w:rsidR="00103DC0" w:rsidRDefault="002D191D">
        <w:pPr>
          <w:pStyle w:val="af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6299C"/>
    <w:multiLevelType w:val="hybridMultilevel"/>
    <w:tmpl w:val="A0EAA41A"/>
    <w:lvl w:ilvl="0" w:tplc="072A3646">
      <w:start w:val="1"/>
      <w:numFmt w:val="bullet"/>
      <w:pStyle w:val="a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60"/>
    <w:rsid w:val="000C7DCB"/>
    <w:rsid w:val="00103DC0"/>
    <w:rsid w:val="00120973"/>
    <w:rsid w:val="00195135"/>
    <w:rsid w:val="001B2659"/>
    <w:rsid w:val="00233F8F"/>
    <w:rsid w:val="002346C4"/>
    <w:rsid w:val="00236347"/>
    <w:rsid w:val="002551EB"/>
    <w:rsid w:val="00256FBA"/>
    <w:rsid w:val="002D191D"/>
    <w:rsid w:val="00335122"/>
    <w:rsid w:val="00372D0D"/>
    <w:rsid w:val="00407EB5"/>
    <w:rsid w:val="0041736E"/>
    <w:rsid w:val="00562CB4"/>
    <w:rsid w:val="005C5E2D"/>
    <w:rsid w:val="005F6B57"/>
    <w:rsid w:val="00664F4A"/>
    <w:rsid w:val="0067422A"/>
    <w:rsid w:val="006923FC"/>
    <w:rsid w:val="00692F1F"/>
    <w:rsid w:val="0073494B"/>
    <w:rsid w:val="007913B6"/>
    <w:rsid w:val="007B444A"/>
    <w:rsid w:val="007D16F4"/>
    <w:rsid w:val="007D2913"/>
    <w:rsid w:val="008937F8"/>
    <w:rsid w:val="008B42DF"/>
    <w:rsid w:val="009B79A0"/>
    <w:rsid w:val="00A27AE7"/>
    <w:rsid w:val="00AF2279"/>
    <w:rsid w:val="00BB3AA3"/>
    <w:rsid w:val="00BB698E"/>
    <w:rsid w:val="00C34B76"/>
    <w:rsid w:val="00CD0575"/>
    <w:rsid w:val="00D844D4"/>
    <w:rsid w:val="00DB5A08"/>
    <w:rsid w:val="00DC78CA"/>
    <w:rsid w:val="00DF6E98"/>
    <w:rsid w:val="00E0384F"/>
    <w:rsid w:val="00E42D8A"/>
    <w:rsid w:val="00E70D7D"/>
    <w:rsid w:val="00E84F60"/>
    <w:rsid w:val="00ED0943"/>
    <w:rsid w:val="00EF22D6"/>
    <w:rsid w:val="00FA28FB"/>
    <w:rsid w:val="00FB0CDB"/>
    <w:rsid w:val="00FC5A13"/>
    <w:rsid w:val="00FD08EB"/>
    <w:rsid w:val="00FE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49B5B9-6779-4B49-B12C-39FAA9C7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A28FB"/>
    <w:pPr>
      <w:keepNext/>
      <w:keepLines/>
      <w:spacing w:before="240" w:after="0"/>
      <w:outlineLvl w:val="0"/>
    </w:pPr>
    <w:rPr>
      <w:rFonts w:ascii="Times New Roman" w:eastAsia="Yu Gothic Light" w:hAnsi="Times New Roman" w:cs="Times New Roman"/>
      <w:b/>
      <w:color w:val="2F5496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A28FB"/>
    <w:pPr>
      <w:keepNext/>
      <w:keepLines/>
      <w:spacing w:before="40" w:after="0"/>
      <w:outlineLvl w:val="1"/>
    </w:pPr>
    <w:rPr>
      <w:rFonts w:ascii="Times New Roman CYR" w:eastAsia="Yu Gothic Light" w:hAnsi="Times New Roman CYR" w:cs="Times New Roman"/>
      <w:color w:val="2F5496"/>
      <w:sz w:val="32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A28FB"/>
    <w:pPr>
      <w:keepNext/>
      <w:keepLines/>
      <w:spacing w:before="40" w:after="0"/>
      <w:outlineLvl w:val="2"/>
    </w:pPr>
    <w:rPr>
      <w:rFonts w:ascii="Times New Roman" w:eastAsia="Yu Gothic Light" w:hAnsi="Times New Roman" w:cs="Times New Roman"/>
      <w:b/>
      <w:color w:val="1F3763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uiPriority w:val="9"/>
    <w:qFormat/>
    <w:rsid w:val="00FA28FB"/>
    <w:pPr>
      <w:keepNext/>
      <w:keepLines/>
      <w:spacing w:before="240" w:after="0"/>
      <w:outlineLvl w:val="0"/>
    </w:pPr>
    <w:rPr>
      <w:rFonts w:ascii="Times New Roman" w:eastAsia="Yu Gothic Light" w:hAnsi="Times New Roman" w:cs="Times New Roman"/>
      <w:b/>
      <w:color w:val="2F5496"/>
      <w:sz w:val="32"/>
      <w:szCs w:val="32"/>
    </w:rPr>
  </w:style>
  <w:style w:type="paragraph" w:customStyle="1" w:styleId="21">
    <w:name w:val="Заголовок 21"/>
    <w:basedOn w:val="a0"/>
    <w:next w:val="a0"/>
    <w:uiPriority w:val="9"/>
    <w:unhideWhenUsed/>
    <w:qFormat/>
    <w:rsid w:val="00FA28FB"/>
    <w:pPr>
      <w:keepNext/>
      <w:keepLines/>
      <w:spacing w:before="40" w:after="0"/>
      <w:outlineLvl w:val="1"/>
    </w:pPr>
    <w:rPr>
      <w:rFonts w:ascii="Times New Roman CYR" w:eastAsia="Yu Gothic Light" w:hAnsi="Times New Roman CYR" w:cs="Times New Roman"/>
      <w:color w:val="2F5496"/>
      <w:sz w:val="32"/>
      <w:szCs w:val="26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FA28FB"/>
    <w:pPr>
      <w:keepNext/>
      <w:keepLines/>
      <w:spacing w:before="40" w:after="0"/>
      <w:outlineLvl w:val="2"/>
    </w:pPr>
    <w:rPr>
      <w:rFonts w:ascii="Times New Roman" w:eastAsia="Yu Gothic Light" w:hAnsi="Times New Roman" w:cs="Times New Roman"/>
      <w:b/>
      <w:color w:val="1F3763"/>
      <w:sz w:val="28"/>
      <w:szCs w:val="24"/>
    </w:rPr>
  </w:style>
  <w:style w:type="numbering" w:customStyle="1" w:styleId="12">
    <w:name w:val="Нет списка1"/>
    <w:next w:val="a3"/>
    <w:uiPriority w:val="99"/>
    <w:semiHidden/>
    <w:unhideWhenUsed/>
    <w:rsid w:val="00FA28FB"/>
  </w:style>
  <w:style w:type="character" w:customStyle="1" w:styleId="10">
    <w:name w:val="Заголовок 1 Знак"/>
    <w:basedOn w:val="a1"/>
    <w:link w:val="1"/>
    <w:uiPriority w:val="9"/>
    <w:rsid w:val="00FA28FB"/>
    <w:rPr>
      <w:rFonts w:ascii="Times New Roman" w:eastAsia="Yu Gothic Light" w:hAnsi="Times New Roman" w:cs="Times New Roman"/>
      <w:b/>
      <w:color w:val="2F5496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FA28FB"/>
    <w:rPr>
      <w:rFonts w:ascii="Times New Roman CYR" w:eastAsia="Yu Gothic Light" w:hAnsi="Times New Roman CYR" w:cs="Times New Roman"/>
      <w:color w:val="2F5496"/>
      <w:sz w:val="32"/>
      <w:szCs w:val="26"/>
    </w:rPr>
  </w:style>
  <w:style w:type="paragraph" w:styleId="a4">
    <w:name w:val="List Paragraph"/>
    <w:aliases w:val="Абзац списка2,Bullet List,FooterText,numbered,Подпись рисунка,Маркированный список_уровень1,Абзац списка основной,Список_маркированный,Варианты ответов,Абзац списка11,Мой красивый 1,Список2,Абзац вправо-1,List Paragraph1"/>
    <w:basedOn w:val="a0"/>
    <w:link w:val="a5"/>
    <w:uiPriority w:val="34"/>
    <w:qFormat/>
    <w:rsid w:val="00FA28FB"/>
    <w:pPr>
      <w:ind w:left="720"/>
      <w:contextualSpacing/>
    </w:pPr>
    <w:rPr>
      <w:rFonts w:ascii="Times New Roman CYR" w:hAnsi="Times New Roman CYR"/>
      <w:sz w:val="28"/>
    </w:rPr>
  </w:style>
  <w:style w:type="paragraph" w:customStyle="1" w:styleId="13">
    <w:name w:val="Заголовок оглавления1"/>
    <w:basedOn w:val="1"/>
    <w:next w:val="a0"/>
    <w:uiPriority w:val="39"/>
    <w:unhideWhenUsed/>
    <w:qFormat/>
    <w:rsid w:val="00FA28FB"/>
  </w:style>
  <w:style w:type="paragraph" w:styleId="14">
    <w:name w:val="toc 1"/>
    <w:basedOn w:val="a0"/>
    <w:next w:val="a0"/>
    <w:autoRedefine/>
    <w:uiPriority w:val="39"/>
    <w:unhideWhenUsed/>
    <w:rsid w:val="00FA28FB"/>
    <w:pPr>
      <w:tabs>
        <w:tab w:val="right" w:leader="dot" w:pos="9345"/>
      </w:tabs>
      <w:spacing w:after="0" w:line="240" w:lineRule="auto"/>
    </w:pPr>
    <w:rPr>
      <w:rFonts w:ascii="Times New Roman CYR" w:hAnsi="Times New Roman CYR"/>
      <w:sz w:val="28"/>
    </w:rPr>
  </w:style>
  <w:style w:type="character" w:customStyle="1" w:styleId="15">
    <w:name w:val="Гиперссылка1"/>
    <w:basedOn w:val="a1"/>
    <w:uiPriority w:val="99"/>
    <w:unhideWhenUsed/>
    <w:rsid w:val="00FA28FB"/>
    <w:rPr>
      <w:color w:val="0563C1"/>
      <w:u w:val="single"/>
    </w:rPr>
  </w:style>
  <w:style w:type="table" w:customStyle="1" w:styleId="16">
    <w:name w:val="Сетка таблицы1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annotation text"/>
    <w:basedOn w:val="a0"/>
    <w:link w:val="a8"/>
    <w:uiPriority w:val="99"/>
    <w:unhideWhenUsed/>
    <w:rsid w:val="00FA28FB"/>
    <w:pPr>
      <w:spacing w:line="240" w:lineRule="auto"/>
    </w:pPr>
    <w:rPr>
      <w:rFonts w:ascii="Times New Roman CYR" w:hAnsi="Times New Roman CYR"/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FA28FB"/>
    <w:rPr>
      <w:rFonts w:ascii="Times New Roman CYR" w:hAnsi="Times New Roman CYR"/>
      <w:sz w:val="20"/>
      <w:szCs w:val="20"/>
    </w:rPr>
  </w:style>
  <w:style w:type="character" w:styleId="a9">
    <w:name w:val="annotation reference"/>
    <w:basedOn w:val="a1"/>
    <w:uiPriority w:val="99"/>
    <w:semiHidden/>
    <w:unhideWhenUsed/>
    <w:rsid w:val="00FA28FB"/>
    <w:rPr>
      <w:sz w:val="16"/>
      <w:szCs w:val="16"/>
    </w:rPr>
  </w:style>
  <w:style w:type="character" w:styleId="aa">
    <w:name w:val="Emphasis"/>
    <w:basedOn w:val="a1"/>
    <w:uiPriority w:val="20"/>
    <w:qFormat/>
    <w:rsid w:val="00FA28FB"/>
    <w:rPr>
      <w:i/>
      <w:iCs/>
    </w:rPr>
  </w:style>
  <w:style w:type="paragraph" w:customStyle="1" w:styleId="a">
    <w:name w:val="Перечисление"/>
    <w:basedOn w:val="a0"/>
    <w:link w:val="ab"/>
    <w:qFormat/>
    <w:rsid w:val="00FA28FB"/>
    <w:pPr>
      <w:numPr>
        <w:numId w:val="1"/>
      </w:numPr>
      <w:spacing w:after="0" w:line="360" w:lineRule="auto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Перечисление Знак"/>
    <w:link w:val="a"/>
    <w:rsid w:val="00FA28FB"/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1">
    <w:name w:val="fn1"/>
    <w:basedOn w:val="a0"/>
    <w:next w:val="ac"/>
    <w:link w:val="ad"/>
    <w:uiPriority w:val="99"/>
    <w:unhideWhenUsed/>
    <w:rsid w:val="00FA28F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1"/>
    <w:link w:val="fn1"/>
    <w:uiPriority w:val="99"/>
    <w:qFormat/>
    <w:rsid w:val="00FA28FB"/>
    <w:rPr>
      <w:sz w:val="20"/>
      <w:szCs w:val="20"/>
    </w:rPr>
  </w:style>
  <w:style w:type="character" w:styleId="ae">
    <w:name w:val="footnote reference"/>
    <w:aliases w:val="Знак сноски-FN,Ciae niinee-FN,SUPERS,Знак сноски 1,Ciae niinee 1,Referencia nota al pie,Ссылка на сноску 45,Appel note de bas de page,fr,Used by Word for Help footnote symbols,анкета сноска,Style 49,o,Style 18,Ref,de nota al pie,ОР,зс"/>
    <w:basedOn w:val="a1"/>
    <w:uiPriority w:val="99"/>
    <w:unhideWhenUsed/>
    <w:rsid w:val="00FA28FB"/>
    <w:rPr>
      <w:vertAlign w:val="superscript"/>
    </w:rPr>
  </w:style>
  <w:style w:type="character" w:customStyle="1" w:styleId="af">
    <w:name w:val="Гипертекстовая ссылка"/>
    <w:basedOn w:val="a1"/>
    <w:uiPriority w:val="99"/>
    <w:rsid w:val="00FA28FB"/>
    <w:rPr>
      <w:b w:val="0"/>
      <w:bCs w:val="0"/>
      <w:color w:val="106BBE"/>
    </w:rPr>
  </w:style>
  <w:style w:type="paragraph" w:customStyle="1" w:styleId="af0">
    <w:name w:val="Нормальный (таблица)"/>
    <w:basedOn w:val="a0"/>
    <w:next w:val="a0"/>
    <w:uiPriority w:val="99"/>
    <w:rsid w:val="00FA28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Yu Mincho" w:hAnsi="Arial" w:cs="Arial"/>
      <w:sz w:val="24"/>
      <w:szCs w:val="24"/>
      <w:lang w:eastAsia="ru-RU"/>
    </w:rPr>
  </w:style>
  <w:style w:type="paragraph" w:customStyle="1" w:styleId="210">
    <w:name w:val="Оглавление 21"/>
    <w:basedOn w:val="a0"/>
    <w:next w:val="a0"/>
    <w:autoRedefine/>
    <w:uiPriority w:val="39"/>
    <w:unhideWhenUsed/>
    <w:rsid w:val="00FA28FB"/>
    <w:pPr>
      <w:tabs>
        <w:tab w:val="right" w:leader="dot" w:pos="9345"/>
      </w:tabs>
      <w:spacing w:after="100" w:line="240" w:lineRule="auto"/>
      <w:ind w:left="221"/>
    </w:pPr>
  </w:style>
  <w:style w:type="paragraph" w:customStyle="1" w:styleId="17">
    <w:name w:val="Верхний колонтитул1"/>
    <w:basedOn w:val="a0"/>
    <w:next w:val="af1"/>
    <w:link w:val="af2"/>
    <w:uiPriority w:val="99"/>
    <w:unhideWhenUsed/>
    <w:rsid w:val="00FA2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17"/>
    <w:uiPriority w:val="99"/>
    <w:rsid w:val="00FA28FB"/>
  </w:style>
  <w:style w:type="paragraph" w:customStyle="1" w:styleId="18">
    <w:name w:val="Нижний колонтитул1"/>
    <w:basedOn w:val="a0"/>
    <w:next w:val="af3"/>
    <w:link w:val="af4"/>
    <w:uiPriority w:val="99"/>
    <w:unhideWhenUsed/>
    <w:rsid w:val="00FA2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18"/>
    <w:uiPriority w:val="99"/>
    <w:rsid w:val="00FA28FB"/>
  </w:style>
  <w:style w:type="character" w:customStyle="1" w:styleId="normaltextrun">
    <w:name w:val="normaltextrun"/>
    <w:basedOn w:val="a1"/>
    <w:rsid w:val="00FA28FB"/>
  </w:style>
  <w:style w:type="paragraph" w:styleId="af5">
    <w:name w:val="Normal (Web)"/>
    <w:basedOn w:val="a0"/>
    <w:uiPriority w:val="99"/>
    <w:unhideWhenUsed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0"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1"/>
    <w:rsid w:val="00FA28FB"/>
  </w:style>
  <w:style w:type="character" w:customStyle="1" w:styleId="eop">
    <w:name w:val="eop"/>
    <w:basedOn w:val="a1"/>
    <w:rsid w:val="00FA28FB"/>
  </w:style>
  <w:style w:type="character" w:customStyle="1" w:styleId="contextualspellingandgrammarerror">
    <w:name w:val="contextualspellingandgrammarerror"/>
    <w:basedOn w:val="a1"/>
    <w:rsid w:val="00FA28FB"/>
  </w:style>
  <w:style w:type="paragraph" w:customStyle="1" w:styleId="formattext">
    <w:name w:val="formattext"/>
    <w:basedOn w:val="a0"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 светлая1"/>
    <w:basedOn w:val="a2"/>
    <w:next w:val="af6"/>
    <w:uiPriority w:val="40"/>
    <w:rsid w:val="00FA28FB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ConsPlusNormal">
    <w:name w:val="ConsPlusNormal"/>
    <w:rsid w:val="00FA28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сноска"/>
    <w:basedOn w:val="ac"/>
    <w:link w:val="af8"/>
    <w:qFormat/>
    <w:rsid w:val="00FA28FB"/>
    <w:pPr>
      <w:ind w:firstLine="709"/>
      <w:jc w:val="both"/>
    </w:pPr>
    <w:rPr>
      <w:rFonts w:ascii="Times New Roman" w:eastAsia="Calibri" w:hAnsi="Times New Roman" w:cs="Times New Roman"/>
      <w:lang w:val="x-none" w:eastAsia="x-none"/>
    </w:rPr>
  </w:style>
  <w:style w:type="character" w:customStyle="1" w:styleId="af8">
    <w:name w:val="сноска Знак"/>
    <w:basedOn w:val="a1"/>
    <w:link w:val="af7"/>
    <w:rsid w:val="00FA28FB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FA28FB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FA28FB"/>
    <w:rPr>
      <w:rFonts w:ascii="Times New Roman CYR" w:hAnsi="Times New Roman CYR"/>
      <w:b/>
      <w:bCs/>
      <w:sz w:val="20"/>
      <w:szCs w:val="20"/>
    </w:rPr>
  </w:style>
  <w:style w:type="character" w:styleId="afb">
    <w:name w:val="Strong"/>
    <w:basedOn w:val="a1"/>
    <w:uiPriority w:val="22"/>
    <w:qFormat/>
    <w:rsid w:val="00FA28FB"/>
    <w:rPr>
      <w:b/>
      <w:bCs/>
    </w:rPr>
  </w:style>
  <w:style w:type="character" w:customStyle="1" w:styleId="organictitlecontentspan">
    <w:name w:val="organictitlecontentspan"/>
    <w:basedOn w:val="a1"/>
    <w:rsid w:val="00FA28FB"/>
  </w:style>
  <w:style w:type="paragraph" w:customStyle="1" w:styleId="ConsPlusCell">
    <w:name w:val="ConsPlusCell"/>
    <w:uiPriority w:val="99"/>
    <w:rsid w:val="00FA28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10">
    <w:name w:val="Сетка таблицы11"/>
    <w:basedOn w:val="a2"/>
    <w:next w:val="a6"/>
    <w:uiPriority w:val="5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ody Text"/>
    <w:basedOn w:val="a0"/>
    <w:link w:val="afd"/>
    <w:uiPriority w:val="1"/>
    <w:qFormat/>
    <w:rsid w:val="00FA28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Основной текст Знак"/>
    <w:basedOn w:val="a1"/>
    <w:link w:val="afc"/>
    <w:uiPriority w:val="1"/>
    <w:rsid w:val="00FA28F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0"/>
    <w:uiPriority w:val="1"/>
    <w:qFormat/>
    <w:rsid w:val="00FA28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20">
    <w:name w:val="Сетка таблицы12"/>
    <w:basedOn w:val="a2"/>
    <w:next w:val="a6"/>
    <w:uiPriority w:val="5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A2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FA28FB"/>
    <w:rPr>
      <w:rFonts w:ascii="Times New Roman" w:eastAsia="Yu Gothic Light" w:hAnsi="Times New Roman" w:cs="Times New Roman"/>
      <w:b/>
      <w:color w:val="1F3763"/>
      <w:sz w:val="28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FA28FB"/>
    <w:pPr>
      <w:spacing w:after="100"/>
      <w:ind w:left="560"/>
    </w:pPr>
    <w:rPr>
      <w:rFonts w:ascii="Times New Roman CYR" w:hAnsi="Times New Roman CYR"/>
      <w:sz w:val="28"/>
    </w:rPr>
  </w:style>
  <w:style w:type="table" w:customStyle="1" w:styleId="5">
    <w:name w:val="Сетка таблицы5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uiPriority w:val="2"/>
    <w:semiHidden/>
    <w:unhideWhenUsed/>
    <w:qFormat/>
    <w:rsid w:val="00FA2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A2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">
    <w:name w:val="Сетка таблицы6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6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6"/>
    <w:uiPriority w:val="39"/>
    <w:rsid w:val="00FA28F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Абзац списка2 Знак,Bullet List Знак,FooterText Знак,numbered Знак,Подпись рисунка Знак,Маркированный список_уровень1 Знак,Абзац списка основной Знак,Список_маркированный Знак,Варианты ответов Знак,Абзац списка11 Знак,Список2 Знак"/>
    <w:link w:val="a4"/>
    <w:uiPriority w:val="34"/>
    <w:qFormat/>
    <w:locked/>
    <w:rsid w:val="00FA28FB"/>
    <w:rPr>
      <w:rFonts w:ascii="Times New Roman CYR" w:hAnsi="Times New Roman CYR"/>
      <w:sz w:val="28"/>
    </w:rPr>
  </w:style>
  <w:style w:type="character" w:customStyle="1" w:styleId="afe">
    <w:name w:val="Другое_"/>
    <w:basedOn w:val="a1"/>
    <w:link w:val="aff"/>
    <w:rsid w:val="00FA28F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ff">
    <w:name w:val="Другое"/>
    <w:basedOn w:val="a0"/>
    <w:link w:val="afe"/>
    <w:rsid w:val="00FA28FB"/>
    <w:pPr>
      <w:widowControl w:val="0"/>
      <w:shd w:val="clear" w:color="auto" w:fill="FFFFFF"/>
      <w:spacing w:after="120" w:line="252" w:lineRule="auto"/>
    </w:pPr>
    <w:rPr>
      <w:rFonts w:ascii="Calibri" w:eastAsia="Calibri" w:hAnsi="Calibri" w:cs="Calibri"/>
      <w:sz w:val="20"/>
      <w:szCs w:val="20"/>
    </w:rPr>
  </w:style>
  <w:style w:type="paragraph" w:styleId="aff0">
    <w:name w:val="endnote text"/>
    <w:basedOn w:val="a0"/>
    <w:link w:val="aff1"/>
    <w:uiPriority w:val="99"/>
    <w:semiHidden/>
    <w:unhideWhenUsed/>
    <w:rsid w:val="00FA28FB"/>
    <w:pPr>
      <w:spacing w:after="0" w:line="240" w:lineRule="auto"/>
    </w:pPr>
    <w:rPr>
      <w:rFonts w:ascii="Times New Roman CYR" w:hAnsi="Times New Roman CYR"/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FA28FB"/>
    <w:rPr>
      <w:rFonts w:ascii="Times New Roman CYR" w:hAnsi="Times New Roman CYR"/>
      <w:sz w:val="20"/>
      <w:szCs w:val="20"/>
    </w:rPr>
  </w:style>
  <w:style w:type="character" w:styleId="aff2">
    <w:name w:val="endnote reference"/>
    <w:basedOn w:val="a1"/>
    <w:uiPriority w:val="99"/>
    <w:semiHidden/>
    <w:unhideWhenUsed/>
    <w:rsid w:val="00FA28FB"/>
    <w:rPr>
      <w:vertAlign w:val="superscript"/>
    </w:rPr>
  </w:style>
  <w:style w:type="character" w:customStyle="1" w:styleId="extendedtext-full">
    <w:name w:val="extendedtext-full"/>
    <w:basedOn w:val="a1"/>
    <w:rsid w:val="00FA28FB"/>
  </w:style>
  <w:style w:type="character" w:customStyle="1" w:styleId="layout">
    <w:name w:val="layout"/>
    <w:basedOn w:val="a1"/>
    <w:rsid w:val="00FA28FB"/>
  </w:style>
  <w:style w:type="paragraph" w:customStyle="1" w:styleId="ConsPlusTitle">
    <w:name w:val="ConsPlusTitle"/>
    <w:uiPriority w:val="99"/>
    <w:rsid w:val="00FA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a">
    <w:name w:val="Абзац списка1"/>
    <w:basedOn w:val="a0"/>
    <w:uiPriority w:val="34"/>
    <w:qFormat/>
    <w:rsid w:val="00FA28F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f3">
    <w:name w:val="Balloon Text"/>
    <w:basedOn w:val="a0"/>
    <w:link w:val="aff4"/>
    <w:uiPriority w:val="99"/>
    <w:semiHidden/>
    <w:unhideWhenUsed/>
    <w:rsid w:val="00FA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1"/>
    <w:link w:val="aff3"/>
    <w:uiPriority w:val="99"/>
    <w:semiHidden/>
    <w:rsid w:val="00FA28FB"/>
    <w:rPr>
      <w:rFonts w:ascii="Tahoma" w:hAnsi="Tahoma" w:cs="Tahoma"/>
      <w:sz w:val="16"/>
      <w:szCs w:val="16"/>
    </w:rPr>
  </w:style>
  <w:style w:type="paragraph" w:styleId="aff5">
    <w:name w:val="No Spacing"/>
    <w:uiPriority w:val="1"/>
    <w:qFormat/>
    <w:rsid w:val="00FA28FB"/>
    <w:pPr>
      <w:spacing w:after="0" w:line="240" w:lineRule="auto"/>
    </w:pPr>
  </w:style>
  <w:style w:type="character" w:customStyle="1" w:styleId="aff6">
    <w:name w:val="Основной текст_"/>
    <w:basedOn w:val="a1"/>
    <w:link w:val="1b"/>
    <w:locked/>
    <w:rsid w:val="00FA28F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1b">
    <w:name w:val="Основной текст1"/>
    <w:basedOn w:val="a0"/>
    <w:link w:val="aff6"/>
    <w:rsid w:val="00FA28FB"/>
    <w:pPr>
      <w:widowControl w:val="0"/>
      <w:shd w:val="clear" w:color="auto" w:fill="FFFFFF"/>
      <w:spacing w:after="120" w:line="252" w:lineRule="auto"/>
    </w:pPr>
    <w:rPr>
      <w:rFonts w:ascii="Calibri" w:eastAsia="Calibri" w:hAnsi="Calibri" w:cs="Calibri"/>
      <w:sz w:val="20"/>
      <w:szCs w:val="20"/>
    </w:rPr>
  </w:style>
  <w:style w:type="paragraph" w:styleId="aff7">
    <w:name w:val="Revision"/>
    <w:hidden/>
    <w:uiPriority w:val="99"/>
    <w:semiHidden/>
    <w:rsid w:val="00FA28FB"/>
    <w:pPr>
      <w:spacing w:after="0" w:line="240" w:lineRule="auto"/>
    </w:pPr>
    <w:rPr>
      <w:rFonts w:ascii="Times New Roman CYR" w:hAnsi="Times New Roman CYR"/>
      <w:sz w:val="28"/>
    </w:rPr>
  </w:style>
  <w:style w:type="table" w:customStyle="1" w:styleId="100">
    <w:name w:val="Сетка таблицы10"/>
    <w:basedOn w:val="a2"/>
    <w:next w:val="a6"/>
    <w:uiPriority w:val="5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Оглавление 41"/>
    <w:basedOn w:val="a0"/>
    <w:next w:val="a0"/>
    <w:autoRedefine/>
    <w:uiPriority w:val="39"/>
    <w:unhideWhenUsed/>
    <w:rsid w:val="00FA28FB"/>
    <w:pPr>
      <w:spacing w:after="100"/>
      <w:ind w:left="660"/>
    </w:pPr>
    <w:rPr>
      <w:rFonts w:eastAsia="Yu Mincho"/>
      <w:lang w:eastAsia="ru-RU"/>
    </w:rPr>
  </w:style>
  <w:style w:type="paragraph" w:customStyle="1" w:styleId="51">
    <w:name w:val="Оглавление 51"/>
    <w:basedOn w:val="a0"/>
    <w:next w:val="a0"/>
    <w:autoRedefine/>
    <w:uiPriority w:val="39"/>
    <w:unhideWhenUsed/>
    <w:rsid w:val="00FA28FB"/>
    <w:pPr>
      <w:spacing w:after="100"/>
      <w:ind w:left="880"/>
    </w:pPr>
    <w:rPr>
      <w:rFonts w:eastAsia="Yu Mincho"/>
      <w:lang w:eastAsia="ru-RU"/>
    </w:rPr>
  </w:style>
  <w:style w:type="paragraph" w:customStyle="1" w:styleId="61">
    <w:name w:val="Оглавление 61"/>
    <w:basedOn w:val="a0"/>
    <w:next w:val="a0"/>
    <w:autoRedefine/>
    <w:uiPriority w:val="39"/>
    <w:unhideWhenUsed/>
    <w:rsid w:val="00FA28FB"/>
    <w:pPr>
      <w:spacing w:after="100"/>
      <w:ind w:left="1100"/>
    </w:pPr>
    <w:rPr>
      <w:rFonts w:eastAsia="Yu Mincho"/>
      <w:lang w:eastAsia="ru-RU"/>
    </w:rPr>
  </w:style>
  <w:style w:type="paragraph" w:customStyle="1" w:styleId="71">
    <w:name w:val="Оглавление 71"/>
    <w:basedOn w:val="a0"/>
    <w:next w:val="a0"/>
    <w:autoRedefine/>
    <w:uiPriority w:val="39"/>
    <w:unhideWhenUsed/>
    <w:rsid w:val="00FA28FB"/>
    <w:pPr>
      <w:spacing w:after="100"/>
      <w:ind w:left="1320"/>
    </w:pPr>
    <w:rPr>
      <w:rFonts w:eastAsia="Yu Mincho"/>
      <w:lang w:eastAsia="ru-RU"/>
    </w:rPr>
  </w:style>
  <w:style w:type="paragraph" w:customStyle="1" w:styleId="81">
    <w:name w:val="Оглавление 81"/>
    <w:basedOn w:val="a0"/>
    <w:next w:val="a0"/>
    <w:autoRedefine/>
    <w:uiPriority w:val="39"/>
    <w:unhideWhenUsed/>
    <w:rsid w:val="00FA28FB"/>
    <w:pPr>
      <w:spacing w:after="100"/>
      <w:ind w:left="1540"/>
    </w:pPr>
    <w:rPr>
      <w:rFonts w:eastAsia="Yu Mincho"/>
      <w:lang w:eastAsia="ru-RU"/>
    </w:rPr>
  </w:style>
  <w:style w:type="paragraph" w:customStyle="1" w:styleId="91">
    <w:name w:val="Оглавление 91"/>
    <w:basedOn w:val="a0"/>
    <w:next w:val="a0"/>
    <w:autoRedefine/>
    <w:uiPriority w:val="39"/>
    <w:unhideWhenUsed/>
    <w:rsid w:val="00FA28FB"/>
    <w:pPr>
      <w:spacing w:after="100"/>
      <w:ind w:left="1760"/>
    </w:pPr>
    <w:rPr>
      <w:rFonts w:eastAsia="Yu Mincho"/>
      <w:lang w:eastAsia="ru-RU"/>
    </w:rPr>
  </w:style>
  <w:style w:type="character" w:customStyle="1" w:styleId="1c">
    <w:name w:val="Неразрешенное упоминание1"/>
    <w:basedOn w:val="a1"/>
    <w:uiPriority w:val="99"/>
    <w:semiHidden/>
    <w:unhideWhenUsed/>
    <w:rsid w:val="00FA28FB"/>
    <w:rPr>
      <w:color w:val="605E5C"/>
      <w:shd w:val="clear" w:color="auto" w:fill="E1DFDD"/>
    </w:rPr>
  </w:style>
  <w:style w:type="paragraph" w:styleId="34">
    <w:name w:val="Body Text Indent 3"/>
    <w:basedOn w:val="a0"/>
    <w:link w:val="35"/>
    <w:uiPriority w:val="99"/>
    <w:semiHidden/>
    <w:unhideWhenUsed/>
    <w:rsid w:val="00FA28FB"/>
    <w:pPr>
      <w:spacing w:after="120"/>
      <w:ind w:left="283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FA28FB"/>
    <w:rPr>
      <w:rFonts w:ascii="Times New Roman CYR" w:hAnsi="Times New Roman CYR"/>
      <w:sz w:val="16"/>
      <w:szCs w:val="16"/>
    </w:rPr>
  </w:style>
  <w:style w:type="character" w:styleId="aff8">
    <w:name w:val="FollowedHyperlink"/>
    <w:basedOn w:val="a1"/>
    <w:uiPriority w:val="99"/>
    <w:semiHidden/>
    <w:unhideWhenUsed/>
    <w:rsid w:val="00FA28FB"/>
    <w:rPr>
      <w:color w:val="954F72"/>
      <w:u w:val="single"/>
    </w:rPr>
  </w:style>
  <w:style w:type="paragraph" w:customStyle="1" w:styleId="msonormal0">
    <w:name w:val="msonormal"/>
    <w:basedOn w:val="a0"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FA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64">
    <w:name w:val="xl64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FA28F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FA28FB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0"/>
    <w:rsid w:val="00FA2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FA2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0"/>
    <w:rsid w:val="00FA2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A28FB"/>
    <w:pP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FA28FB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FA28FB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FA28FB"/>
    <w:pP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FA28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FA28FB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FA28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FA28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FA28FB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FA28FB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FA28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FA28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04">
    <w:name w:val="xl104"/>
    <w:basedOn w:val="a0"/>
    <w:rsid w:val="00FA28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FA2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0"/>
    <w:rsid w:val="00FA2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">
    <w:name w:val="c"/>
    <w:basedOn w:val="a0"/>
    <w:uiPriority w:val="99"/>
    <w:semiHidden/>
    <w:rsid w:val="00FA28FB"/>
    <w:pPr>
      <w:spacing w:before="90" w:after="90" w:line="240" w:lineRule="auto"/>
      <w:ind w:left="675" w:right="675"/>
      <w:jc w:val="center"/>
    </w:pPr>
    <w:rPr>
      <w:rFonts w:ascii="Times New Roman" w:eastAsia="Yu Mincho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basedOn w:val="a1"/>
    <w:uiPriority w:val="9"/>
    <w:rsid w:val="00FA28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1"/>
    <w:uiPriority w:val="9"/>
    <w:semiHidden/>
    <w:rsid w:val="00FA28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f9">
    <w:name w:val="Hyperlink"/>
    <w:basedOn w:val="a1"/>
    <w:uiPriority w:val="99"/>
    <w:semiHidden/>
    <w:unhideWhenUsed/>
    <w:rsid w:val="00FA28FB"/>
    <w:rPr>
      <w:color w:val="0563C1" w:themeColor="hyperlink"/>
      <w:u w:val="single"/>
    </w:rPr>
  </w:style>
  <w:style w:type="table" w:styleId="a6">
    <w:name w:val="Table Grid"/>
    <w:basedOn w:val="a2"/>
    <w:uiPriority w:val="39"/>
    <w:rsid w:val="00FA2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"/>
    <w:basedOn w:val="a0"/>
    <w:link w:val="1d"/>
    <w:uiPriority w:val="99"/>
    <w:unhideWhenUsed/>
    <w:rsid w:val="00FA28FB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aliases w:val="Table_Footnote_last Знак1,Schriftart: 9 pt Знак1,Schriftart: 10 pt Знак1,Schriftart: 8 pt Знак1,Текст сноски Знак1 Знак Знак1,Текст сноски Знак Знак Знак Знак1,Footnote Text Char Знак Знак Знак1,Footnote Text Char Знак Знак2,fn Знак"/>
    <w:basedOn w:val="a1"/>
    <w:link w:val="ac"/>
    <w:uiPriority w:val="99"/>
    <w:semiHidden/>
    <w:rsid w:val="00FA28FB"/>
    <w:rPr>
      <w:sz w:val="20"/>
      <w:szCs w:val="20"/>
    </w:rPr>
  </w:style>
  <w:style w:type="paragraph" w:styleId="af1">
    <w:name w:val="header"/>
    <w:basedOn w:val="a0"/>
    <w:link w:val="1e"/>
    <w:uiPriority w:val="99"/>
    <w:unhideWhenUsed/>
    <w:rsid w:val="00FA2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1"/>
    <w:link w:val="af1"/>
    <w:uiPriority w:val="99"/>
    <w:rsid w:val="00FA28FB"/>
  </w:style>
  <w:style w:type="paragraph" w:styleId="af3">
    <w:name w:val="footer"/>
    <w:basedOn w:val="a0"/>
    <w:link w:val="1f"/>
    <w:uiPriority w:val="99"/>
    <w:unhideWhenUsed/>
    <w:rsid w:val="00FA2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1"/>
    <w:link w:val="af3"/>
    <w:uiPriority w:val="99"/>
    <w:rsid w:val="00FA28FB"/>
  </w:style>
  <w:style w:type="table" w:styleId="af6">
    <w:name w:val="Grid Table Light"/>
    <w:basedOn w:val="a2"/>
    <w:uiPriority w:val="40"/>
    <w:rsid w:val="00FA28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310">
    <w:name w:val="Заголовок 3 Знак1"/>
    <w:basedOn w:val="a1"/>
    <w:uiPriority w:val="9"/>
    <w:semiHidden/>
    <w:rsid w:val="00FA28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30">
    <w:name w:val="Сетка таблицы13"/>
    <w:basedOn w:val="a2"/>
    <w:next w:val="a6"/>
    <w:uiPriority w:val="39"/>
    <w:rsid w:val="00E70D7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5622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 </cp:lastModifiedBy>
  <cp:revision>6</cp:revision>
  <dcterms:created xsi:type="dcterms:W3CDTF">2023-08-23T11:01:00Z</dcterms:created>
  <dcterms:modified xsi:type="dcterms:W3CDTF">2023-09-06T11:55:00Z</dcterms:modified>
</cp:coreProperties>
</file>