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Контактные лица для направления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замечаний и предложений: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Хафизов Руслан Илдарович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Старший специалист 1 разряда сектора по развитию сельской кооперации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Телефон: +7 (843) 221-76-85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 w:bidi="ar-SA"/>
        </w:rPr>
        <w:t>Email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: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 w:bidi="ar-SA"/>
        </w:rPr>
        <w:t>Ruslan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 w:bidi="ar-SA"/>
        </w:rPr>
        <w:t>Hafizov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@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 w:bidi="ar-SA"/>
        </w:rPr>
        <w:t>tatar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 w:bidi="ar-SA"/>
        </w:rPr>
        <w:t>ru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Калимуллин Ильнар Ирекович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Начальник юридического отдела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Адрес: г. Казань, ул.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 w:bidi="ar-SA"/>
        </w:rPr>
        <w:t> 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Федосеевская, 36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Телефон: +7 (843) 221-76-14</w:t>
      </w:r>
    </w:p>
    <w:p>
      <w:pPr>
        <w:widowControl/>
        <w:suppressAutoHyphens w:val="0"/>
        <w:autoSpaceDE w:val="0"/>
        <w:adjustRightInd w:val="0"/>
        <w:ind w:left="5103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 w:bidi="ar-SA"/>
        </w:rPr>
        <w:t>E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 w:bidi="ar-SA"/>
        </w:rPr>
        <w:t>mail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: </w:t>
      </w:r>
      <w:hyperlink r:id="rId6" w:history="1">
        <w:r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val="en-US" w:eastAsia="ru-RU" w:bidi="ar-SA"/>
          </w:rPr>
          <w:t>Ilnar</w:t>
        </w:r>
        <w:r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 w:bidi="ar-SA"/>
          </w:rPr>
          <w:t>.</w:t>
        </w:r>
        <w:r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val="en-US" w:eastAsia="ru-RU" w:bidi="ar-SA"/>
          </w:rPr>
          <w:t>Kalimullin</w:t>
        </w:r>
        <w:r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 w:bidi="ar-SA"/>
          </w:rPr>
          <w:t>@</w:t>
        </w:r>
        <w:r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val="en-US" w:eastAsia="ru-RU" w:bidi="ar-SA"/>
          </w:rPr>
          <w:t>tatar</w:t>
        </w:r>
        <w:r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 w:bidi="ar-SA"/>
          </w:rPr>
          <w:t>.</w:t>
        </w:r>
        <w:r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val="en-US" w:eastAsia="ru-RU" w:bidi="ar-SA"/>
          </w:rPr>
          <w:t>ru</w:t>
        </w:r>
      </w:hyperlink>
    </w:p>
    <w:p>
      <w:pPr>
        <w:pStyle w:val="ConsPlusNormal"/>
        <w:jc w:val="both"/>
        <w:rPr>
          <w:color w:val="000000"/>
          <w:sz w:val="28"/>
          <w:szCs w:val="28"/>
        </w:rPr>
      </w:pPr>
    </w:p>
    <w:p>
      <w:pPr>
        <w:pStyle w:val="ConsPlusNormal"/>
        <w:jc w:val="both"/>
        <w:rPr>
          <w:color w:val="000000"/>
          <w:sz w:val="28"/>
          <w:szCs w:val="28"/>
        </w:rPr>
      </w:pPr>
    </w:p>
    <w:p>
      <w:pPr>
        <w:pStyle w:val="ConsPlusNormal"/>
        <w:jc w:val="both"/>
        <w:rPr>
          <w:color w:val="000000"/>
          <w:sz w:val="28"/>
          <w:szCs w:val="28"/>
        </w:rPr>
      </w:pPr>
    </w:p>
    <w:p>
      <w:pPr>
        <w:pStyle w:val="Standard"/>
        <w:tabs>
          <w:tab w:val="left" w:pos="4395"/>
          <w:tab w:val="left" w:pos="4536"/>
        </w:tabs>
        <w:spacing w:after="0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внесении изменения в Порядок проведения республиканского конкурса «Лучший глава крестьянского (фермерского) хозяйства Республики Татарстан», утвержденный  постановлением Кабинета Министров Республики Татарстан от 21.11.2017    № 893 «О мерах государственной поддержки кадрового обеспечения агропромышленного комплекса за счет средств бюджета Республики Татарстан»</w:t>
      </w:r>
    </w:p>
    <w:p>
      <w:pPr>
        <w:pStyle w:val="Standard"/>
        <w:spacing w:after="0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Кабинет Министров Республики Татарстан ПОСТАНОВЛЯЕТ:</w:t>
      </w:r>
    </w:p>
    <w:p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>
      <w:pPr>
        <w:pStyle w:val="Standard"/>
        <w:tabs>
          <w:tab w:val="left" w:pos="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Внести в Порядок проведения республиканского конкурса «Лучший глава крестьянского (фермерского) хозяйства Республики Татарстан», утвержденный  постановлением Кабинета Министров Республики Татарстан от 21.11.2017                      № 893  «О мерах государственной поддержки кадрового обеспечения агропромышленного комплекса за счет средств бюджета Республики Татарстан»            (с изменениями, внесенными постановлением Кабинета Министров от 26.03.2018           № 173, от 06.09.2019 № 789, от 10.03.2020 №181, от 14.05.2020 № 389, от 30.12.2020          № 1247), следующее изменение:</w:t>
      </w:r>
    </w:p>
    <w:p>
      <w:pPr>
        <w:pStyle w:val="Standard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пункте 4.4.9 слова «Пенсионный фонд Российской Федерации» заменить словами «Фонд пенсионного и социального страхования Российской Федерации».</w:t>
      </w:r>
    </w:p>
    <w:p>
      <w:pPr>
        <w:pStyle w:val="Standard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3399"/>
        <w:gridCol w:w="3399"/>
      </w:tblGrid>
      <w:tr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Премьер-министр Республики Татарстан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widowControl w:val="0"/>
              <w:spacing w:after="0"/>
              <w:jc w:val="both"/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widowControl w:val="0"/>
              <w:spacing w:after="0"/>
              <w:jc w:val="both"/>
            </w:pPr>
          </w:p>
          <w:p>
            <w:pPr>
              <w:pStyle w:val="Standard"/>
              <w:widowControl w:val="0"/>
              <w:spacing w:after="0"/>
              <w:jc w:val="right"/>
            </w:pPr>
            <w:bookmarkStart w:id="0" w:name="_GoBack"/>
            <w:bookmarkEnd w:id="0"/>
          </w:p>
        </w:tc>
      </w:tr>
    </w:tbl>
    <w:p>
      <w:pPr>
        <w:pStyle w:val="Standard"/>
        <w:widowControl w:val="0"/>
        <w:spacing w:after="0"/>
        <w:ind w:firstLine="567"/>
        <w:jc w:val="both"/>
      </w:pPr>
    </w:p>
    <w:p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Пояснительная записка</w:t>
      </w:r>
    </w:p>
    <w:p>
      <w:pPr>
        <w:widowControl/>
        <w:suppressAutoHyphens w:val="0"/>
        <w:autoSpaceDN/>
        <w:ind w:right="-1"/>
        <w:jc w:val="center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 проекту постановления Кабинета Министров Республики Татарстан «О внесении изменения в Порядок проведения республиканского конкурса «Лучший глава крестьянского (фермерского) хозяйства Республики Татарстан», утвержденного постановлением Кабинета Министров Республики Татарстан от 21.11.2017 № 893 «О мерах государственной поддержки кадрового обеспечения агропромышленного комплекса за счет средств бюджета Республики Татарстан»</w:t>
      </w:r>
    </w:p>
    <w:p>
      <w:pPr>
        <w:widowControl/>
        <w:suppressAutoHyphens w:val="0"/>
        <w:autoSpaceDN/>
        <w:ind w:right="-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>
      <w:pPr>
        <w:widowControl/>
        <w:suppressAutoHyphens w:val="0"/>
        <w:autoSpaceDN/>
        <w:ind w:right="-1"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>
      <w:pPr>
        <w:suppressAutoHyphens w:val="0"/>
        <w:autoSpaceDN/>
        <w:ind w:firstLine="720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Проект постановления Кабинета Министров Республики Татарстан «О внесении изменения в Порядок проведения республиканского конкурса «Лучший глава крестьянского (фермерского) хозяйства Республики Татарстан», утвержденного постановлением Кабинета Министров Республики Татарстан от 21.11.2017 № 893 «О мерах государственной поддержки кадрового обеспечения агропромышленного комплекса за счет средств бюджета Республики Татарстан» разработан в целях приведения Порядка проведения республиканского конкурса «Лучший глава крестьянского (фермерского) хозяйства Республики Татарстан»  в соответствие  с Федеральным законом от 14 июля 2022 года  № 236-ФЗ «О Фонде пенсионного и социального страхования Российской Федерации»</w:t>
      </w:r>
      <w:r>
        <w:rPr>
          <w:rFonts w:ascii="Calibri" w:eastAsia="Times New Roman" w:hAnsi="Calibri" w:cs="Times New Roman"/>
          <w:color w:val="000000"/>
          <w:kern w:val="0"/>
          <w:sz w:val="22"/>
          <w:szCs w:val="20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 связи с реорганизацией государственных учреждений Пенсионного фонда Российской Федерации и Фонда социального страхования Российской Федерации и созданием Фонда пенсионного и социального страхования Российской Федерации.</w:t>
      </w:r>
    </w:p>
    <w:p>
      <w:pPr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Принятие данного постановления не потребует дополнительных расходов из бюджета Республики Татарстан.</w:t>
      </w:r>
    </w:p>
    <w:p>
      <w:pPr>
        <w:widowControl/>
        <w:suppressAutoHyphens w:val="0"/>
        <w:autoSpaceDN/>
        <w:ind w:right="-1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>
      <w:pPr>
        <w:pStyle w:val="ConsPlusNormal"/>
        <w:jc w:val="both"/>
      </w:pPr>
    </w:p>
    <w:sectPr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22FA-B256-4252-9DDC-3DD43E9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  <w:textAlignment w:val="auto"/>
    </w:pPr>
    <w:rPr>
      <w:rFonts w:ascii="Calibri" w:eastAsia="Liberation Serif" w:hAnsi="Calibri" w:cs="Liberation Serif"/>
      <w:sz w:val="22"/>
      <w:szCs w:val="22"/>
      <w:lang w:eastAsia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eastAsia="PT Astra Serif" w:hAnsi="PT Astra Serif" w:cs="PT Astra Serif"/>
      <w:sz w:val="28"/>
      <w:szCs w:val="28"/>
      <w:lang w:eastAsia="ar-SA"/>
    </w:rPr>
  </w:style>
  <w:style w:type="paragraph" w:customStyle="1" w:styleId="Textbody">
    <w:name w:val="Text body"/>
    <w:basedOn w:val="Standard"/>
    <w:pPr>
      <w:spacing w:after="140"/>
    </w:pPr>
    <w:rPr>
      <w:lang w:eastAsia="ar-SA"/>
    </w:rPr>
  </w:style>
  <w:style w:type="paragraph" w:styleId="a3">
    <w:name w:val="List"/>
    <w:basedOn w:val="Textbody"/>
    <w:rPr>
      <w:rFonts w:ascii="PT Astra Serif" w:eastAsia="PT Astra Serif" w:hAnsi="PT Astra Serif" w:cs="PT Astra Serif"/>
    </w:rPr>
  </w:style>
  <w:style w:type="paragraph" w:styleId="a4">
    <w:name w:val="caption"/>
    <w:basedOn w:val="Standard"/>
    <w:pPr>
      <w:spacing w:before="120" w:after="120"/>
    </w:pPr>
    <w:rPr>
      <w:rFonts w:ascii="PT Astra Serif" w:eastAsia="PT Astra Serif" w:hAnsi="PT Astra Serif" w:cs="PT Astra Serif"/>
      <w:i/>
      <w:iCs/>
      <w:sz w:val="24"/>
      <w:szCs w:val="24"/>
      <w:lang w:eastAsia="ar-SA"/>
    </w:rPr>
  </w:style>
  <w:style w:type="paragraph" w:customStyle="1" w:styleId="Index">
    <w:name w:val="Index"/>
    <w:basedOn w:val="Standard"/>
    <w:rPr>
      <w:rFonts w:ascii="PT Astra Serif" w:eastAsia="PT Astra Serif" w:hAnsi="PT Astra Serif" w:cs="PT Astra Serif"/>
      <w:lang w:eastAsia="ar-SA"/>
    </w:rPr>
  </w:style>
  <w:style w:type="paragraph" w:customStyle="1" w:styleId="1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Liberation Serif" w:hAnsi="Calibri" w:cs="Liberation Serif"/>
      <w:sz w:val="22"/>
      <w:szCs w:val="22"/>
      <w:lang w:eastAsia="hi-IN"/>
    </w:rPr>
  </w:style>
  <w:style w:type="paragraph" w:customStyle="1" w:styleId="ConsPlusNormal">
    <w:name w:val="ConsPlusNormal"/>
    <w:pPr>
      <w:suppressAutoHyphens/>
      <w:textAlignment w:val="auto"/>
    </w:pPr>
    <w:rPr>
      <w:rFonts w:ascii="Times New Roman" w:eastAsia="Liberation Serif" w:hAnsi="Times New Roman" w:cs="Liberation Serif"/>
      <w:lang w:eastAsia="hi-IN"/>
    </w:rPr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Liberation Serif" w:hAnsi="Courier New" w:cs="Liberation Serif"/>
      <w:sz w:val="20"/>
      <w:szCs w:val="20"/>
      <w:lang w:eastAsia="hi-IN"/>
    </w:rPr>
  </w:style>
  <w:style w:type="paragraph" w:customStyle="1" w:styleId="ConsPlusTitle">
    <w:name w:val="ConsPlusTitle"/>
    <w:pPr>
      <w:suppressAutoHyphens/>
      <w:textAlignment w:val="auto"/>
    </w:pPr>
    <w:rPr>
      <w:rFonts w:ascii="Arial" w:eastAsia="Liberation Serif" w:hAnsi="Arial" w:cs="Liberation Serif"/>
      <w:b/>
      <w:bCs/>
      <w:lang w:eastAsia="hi-IN"/>
    </w:rPr>
  </w:style>
  <w:style w:type="paragraph" w:customStyle="1" w:styleId="ConsPlusCell">
    <w:name w:val="ConsPlusCell"/>
    <w:pPr>
      <w:suppressAutoHyphens/>
      <w:textAlignment w:val="auto"/>
    </w:pPr>
    <w:rPr>
      <w:rFonts w:ascii="Courier New" w:eastAsia="Liberation Serif" w:hAnsi="Courier New" w:cs="Liberation Serif"/>
      <w:sz w:val="20"/>
      <w:szCs w:val="20"/>
      <w:lang w:eastAsia="hi-IN"/>
    </w:rPr>
  </w:style>
  <w:style w:type="paragraph" w:customStyle="1" w:styleId="ConsPlusDocList">
    <w:name w:val="ConsPlusDocList"/>
    <w:pPr>
      <w:suppressAutoHyphens/>
      <w:textAlignment w:val="auto"/>
    </w:pPr>
    <w:rPr>
      <w:rFonts w:ascii="Tahoma" w:eastAsia="Liberation Serif" w:hAnsi="Tahoma" w:cs="Liberation Serif"/>
      <w:sz w:val="18"/>
      <w:szCs w:val="18"/>
      <w:lang w:eastAsia="hi-IN"/>
    </w:rPr>
  </w:style>
  <w:style w:type="paragraph" w:customStyle="1" w:styleId="ConsPlusTitlePage">
    <w:name w:val="ConsPlusTitlePage"/>
    <w:pPr>
      <w:suppressAutoHyphens/>
      <w:textAlignment w:val="auto"/>
    </w:pPr>
    <w:rPr>
      <w:rFonts w:ascii="Tahoma" w:eastAsia="Liberation Serif" w:hAnsi="Tahoma" w:cs="Liberation Serif"/>
      <w:lang w:eastAsia="hi-IN"/>
    </w:rPr>
  </w:style>
  <w:style w:type="paragraph" w:customStyle="1" w:styleId="ConsPlusJurTerm">
    <w:name w:val="ConsPlusJurTerm"/>
    <w:pPr>
      <w:suppressAutoHyphens/>
      <w:textAlignment w:val="auto"/>
    </w:pPr>
    <w:rPr>
      <w:rFonts w:ascii="Times New Roman" w:eastAsia="Liberation Serif" w:hAnsi="Times New Roman" w:cs="Liberation Serif"/>
      <w:lang w:eastAsia="hi-IN"/>
    </w:rPr>
  </w:style>
  <w:style w:type="paragraph" w:customStyle="1" w:styleId="ConsPlusTextList">
    <w:name w:val="ConsPlusTextList"/>
    <w:pPr>
      <w:suppressAutoHyphens/>
      <w:textAlignment w:val="auto"/>
    </w:pPr>
    <w:rPr>
      <w:rFonts w:ascii="Times New Roman" w:eastAsia="Liberation Serif" w:hAnsi="Times New Roman" w:cs="Liberation Serif"/>
      <w:lang w:eastAsia="hi-IN"/>
    </w:rPr>
  </w:style>
  <w:style w:type="paragraph" w:customStyle="1" w:styleId="ConsPlusTextList1">
    <w:name w:val="ConsPlusTextList1"/>
    <w:pPr>
      <w:suppressAutoHyphens/>
      <w:textAlignment w:val="auto"/>
    </w:pPr>
    <w:rPr>
      <w:rFonts w:ascii="Times New Roman" w:eastAsia="Liberation Serif" w:hAnsi="Times New Roman" w:cs="Liberation Serif"/>
      <w:lang w:eastAsia="hi-IN"/>
    </w:rPr>
  </w:style>
  <w:style w:type="paragraph" w:customStyle="1" w:styleId="10">
    <w:name w:val="Сетка таблицы1"/>
    <w:basedOn w:val="1"/>
    <w:pPr>
      <w:widowControl w:val="0"/>
      <w:spacing w:after="0" w:line="240" w:lineRule="exact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420" w:after="0" w:line="605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Standard"/>
    <w:pPr>
      <w:spacing w:after="0" w:line="240" w:lineRule="exact"/>
    </w:pPr>
    <w:rPr>
      <w:rFonts w:ascii="Segoe UI" w:eastAsia="Segoe UI" w:hAnsi="Segoe UI" w:cs="Segoe UI"/>
      <w:sz w:val="18"/>
      <w:szCs w:val="18"/>
      <w:lang w:eastAsia="ar-SA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sz w:val="28"/>
      <w:shd w:val="clear" w:color="auto" w:fill="FFFFFF"/>
    </w:rPr>
  </w:style>
  <w:style w:type="character" w:customStyle="1" w:styleId="diffins">
    <w:name w:val="diff_ins"/>
  </w:style>
  <w:style w:type="character" w:customStyle="1" w:styleId="a6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nar.Kalimullin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КМ РТ от 14.07.2021 N 572(ред. от 10.09.2022)"О мерах грантовой поддержки агропромышленного комплекса"(вместе с "Порядком предоставления из бюджета Республики Татарстан грантов на государственную поддержку научных исследований и разработок в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14.07.2021 N 572(ред. от 10.09.2022)"О мерах грантовой поддержки агропромышленного комплекса"(вместе с "Порядком предоставления из бюджета Республики Татарстан грантов на государственную поддержку научных исследований и разработок в</dc:title>
  <dc:creator>Фасхутдинова</dc:creator>
  <cp:lastModifiedBy>YuristMCX</cp:lastModifiedBy>
  <cp:revision>2</cp:revision>
  <cp:lastPrinted>2023-02-21T14:45:00Z</cp:lastPrinted>
  <dcterms:created xsi:type="dcterms:W3CDTF">2023-03-21T14:21:00Z</dcterms:created>
  <dcterms:modified xsi:type="dcterms:W3CDTF">2023-03-21T14:21:00Z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4022.00.09</vt:lpwstr>
  </property>
  <property fmtid="{D5CDD505-2E9C-101B-9397-08002B2CF9AE}" pid="3" name="Operator">
    <vt:lpwstr>Пользователь</vt:lpwstr>
  </property>
</Properties>
</file>