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6928" w:type="dxa"/>
        <w:tblLook w:val="04A0" w:firstRow="1" w:lastRow="0" w:firstColumn="1" w:lastColumn="0" w:noHBand="0" w:noVBand="1"/>
      </w:tblPr>
      <w:tblGrid>
        <w:gridCol w:w="4928"/>
        <w:gridCol w:w="2000"/>
      </w:tblGrid>
      <w:tr w:rsidR="00DC773B" w:rsidRPr="001A5E03" w:rsidTr="009016C1">
        <w:trPr>
          <w:trHeight w:val="1257"/>
        </w:trPr>
        <w:tc>
          <w:tcPr>
            <w:tcW w:w="4928" w:type="dxa"/>
            <w:shd w:val="clear" w:color="auto" w:fill="auto"/>
          </w:tcPr>
          <w:p w:rsidR="00DC773B" w:rsidRPr="001A5E03" w:rsidRDefault="00DC773B" w:rsidP="00E4730D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E4730D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F5AB2" w:rsidRPr="000F5AB2">
              <w:rPr>
                <w:rFonts w:eastAsia="Calibri"/>
                <w:sz w:val="28"/>
                <w:szCs w:val="28"/>
              </w:rPr>
              <w:t>Тетюшское</w:t>
            </w:r>
            <w:proofErr w:type="spellEnd"/>
            <w:r w:rsidR="000F5AB2" w:rsidRPr="000F5AB2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93537D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E4730D">
        <w:rPr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E4730D">
        <w:rPr>
          <w:rFonts w:eastAsia="Calibri"/>
          <w:sz w:val="28"/>
          <w:szCs w:val="28"/>
        </w:rPr>
        <w:t xml:space="preserve"> (далее – </w:t>
      </w:r>
      <w:r w:rsidR="004D4D89">
        <w:rPr>
          <w:rFonts w:eastAsia="Calibri"/>
          <w:sz w:val="28"/>
          <w:szCs w:val="28"/>
        </w:rPr>
        <w:t xml:space="preserve">АО </w:t>
      </w:r>
      <w:r w:rsidR="004D4D89" w:rsidRPr="00206899">
        <w:rPr>
          <w:rFonts w:eastAsia="Calibri"/>
          <w:sz w:val="28"/>
          <w:szCs w:val="28"/>
        </w:rPr>
        <w:t>«</w:t>
      </w:r>
      <w:proofErr w:type="spellStart"/>
      <w:r w:rsidR="004D4D89" w:rsidRPr="000F5AB2">
        <w:rPr>
          <w:rFonts w:eastAsia="Calibri"/>
          <w:sz w:val="28"/>
          <w:szCs w:val="28"/>
        </w:rPr>
        <w:t>Тетюшское</w:t>
      </w:r>
      <w:proofErr w:type="spellEnd"/>
      <w:r w:rsidR="004D4D89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4D4D89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3537D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3537D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4D4D89">
        <w:rPr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93537D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_____</w:t>
      </w:r>
      <w:r w:rsidR="00DC773B" w:rsidRPr="004D4D89">
        <w:rPr>
          <w:sz w:val="23"/>
          <w:szCs w:val="23"/>
        </w:rPr>
        <w:t>____</w:t>
      </w:r>
      <w:r w:rsidR="00EE5403" w:rsidRPr="004D4D8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</w:t>
      </w:r>
      <w:r w:rsidR="00DC773B" w:rsidRPr="004D4D89">
        <w:rPr>
          <w:sz w:val="23"/>
          <w:szCs w:val="23"/>
        </w:rPr>
        <w:t>_____</w:t>
      </w:r>
      <w:r w:rsidR="00EE5403" w:rsidRPr="004D4D8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D4D89">
        <w:rPr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93537D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27786E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7786E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27786E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27786E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27786E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27786E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</w:t>
            </w:r>
            <w:proofErr w:type="spellStart"/>
            <w:r w:rsidRPr="0027786E"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 w:rsidRPr="0027786E"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27786E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93537D" w:rsidRDefault="00EE5403" w:rsidP="00844FA3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93537D">
              <w:t>2</w:t>
            </w:r>
            <w:r w:rsidR="00D46642" w:rsidRPr="0027786E">
              <w:br/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93537D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93537D" w:rsidRDefault="00EE5403" w:rsidP="0095059F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93537D">
              <w:t>2</w:t>
            </w:r>
          </w:p>
          <w:p w:rsidR="006F48D6" w:rsidRPr="0093537D" w:rsidRDefault="006F48D6" w:rsidP="00844FA3">
            <w:pPr>
              <w:ind w:left="-109" w:right="-102"/>
              <w:jc w:val="center"/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93537D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93537D" w:rsidRDefault="00EE5403" w:rsidP="00844FA3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93537D">
              <w:t>2</w:t>
            </w:r>
            <w:r w:rsidR="00D46642" w:rsidRPr="0027786E">
              <w:t xml:space="preserve"> </w:t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93537D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93537D" w:rsidRDefault="00EE5403" w:rsidP="0095059F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93537D">
              <w:t>2</w:t>
            </w:r>
          </w:p>
          <w:p w:rsidR="006F48D6" w:rsidRPr="0093537D" w:rsidRDefault="006F48D6" w:rsidP="00844FA3">
            <w:pPr>
              <w:ind w:left="-109" w:right="-102"/>
              <w:jc w:val="center"/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93537D">
              <w:t>2</w:t>
            </w:r>
          </w:p>
        </w:tc>
      </w:tr>
      <w:tr w:rsidR="00D871DB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27786E" w:rsidRDefault="000F5AB2" w:rsidP="0020689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Тетюш</w:t>
            </w:r>
            <w:r w:rsidR="00A616D3" w:rsidRPr="0027786E">
              <w:rPr>
                <w:rFonts w:eastAsia="Calibri"/>
                <w:lang w:eastAsia="en-US"/>
              </w:rPr>
              <w:t>ский</w:t>
            </w:r>
            <w:proofErr w:type="spellEnd"/>
          </w:p>
          <w:p w:rsidR="00D871DB" w:rsidRPr="0027786E" w:rsidRDefault="00206899" w:rsidP="00206899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/>
        </w:tc>
      </w:tr>
      <w:tr w:rsidR="00DD6EF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4D4D89" w:rsidP="000F5A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АО</w:t>
            </w:r>
            <w:r w:rsidR="00DD6EFE" w:rsidRPr="0027786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0F5AB2" w:rsidRPr="000F5AB2">
              <w:rPr>
                <w:rFonts w:eastAsia="Calibri"/>
                <w:lang w:eastAsia="en-US"/>
              </w:rPr>
              <w:t>Тетюшское</w:t>
            </w:r>
            <w:proofErr w:type="spellEnd"/>
            <w:r w:rsidR="000F5AB2" w:rsidRPr="000F5AB2">
              <w:rPr>
                <w:rFonts w:eastAsia="Calibri"/>
                <w:lang w:eastAsia="en-US"/>
              </w:rPr>
              <w:t xml:space="preserve"> предприятие тепловых сетей</w:t>
            </w:r>
            <w:r w:rsidR="00DD6EFE" w:rsidRPr="0027786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93537D" w:rsidRDefault="00DD6EFE" w:rsidP="006C213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93537D" w:rsidRDefault="00DD6EFE" w:rsidP="006C213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93537D" w:rsidRDefault="00DD6EFE" w:rsidP="006C213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93537D" w:rsidRDefault="00DD6EFE" w:rsidP="006C213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F3EB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27786E" w:rsidRDefault="007F3EBE" w:rsidP="000F5AB2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</w:t>
            </w:r>
            <w:r w:rsidRPr="0027786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27786E" w:rsidRDefault="007F3EB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F3EBE" w:rsidRPr="0027786E" w:rsidRDefault="007F3EB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7F3EBE" w:rsidRDefault="007F3EBE" w:rsidP="0014649A">
            <w:pPr>
              <w:jc w:val="center"/>
            </w:pPr>
            <w:r w:rsidRPr="007F3EBE">
              <w:t>41,23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7F3EBE" w:rsidRDefault="007F3EBE" w:rsidP="0014649A">
            <w:pPr>
              <w:jc w:val="center"/>
            </w:pPr>
            <w:r w:rsidRPr="007F3EBE">
              <w:t>42,42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7F3EBE" w:rsidRDefault="007F3EBE" w:rsidP="0014649A">
            <w:pPr>
              <w:jc w:val="center"/>
            </w:pPr>
            <w:r w:rsidRPr="007F3EBE">
              <w:t>1874,66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EBE" w:rsidRPr="007F3EBE" w:rsidRDefault="007F3EBE" w:rsidP="0014649A">
            <w:pPr>
              <w:jc w:val="center"/>
            </w:pPr>
            <w:r w:rsidRPr="007F3EBE">
              <w:t>1959,85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 xml:space="preserve">Н.Р. </w:t>
      </w:r>
      <w:proofErr w:type="spellStart"/>
      <w:r w:rsidRPr="004822DE">
        <w:rPr>
          <w:sz w:val="28"/>
          <w:szCs w:val="28"/>
        </w:rPr>
        <w:t>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9D" w:rsidRDefault="0013569D">
      <w:r>
        <w:separator/>
      </w:r>
    </w:p>
  </w:endnote>
  <w:endnote w:type="continuationSeparator" w:id="0">
    <w:p w:rsidR="0013569D" w:rsidRDefault="0013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9D" w:rsidRDefault="0013569D">
      <w:r>
        <w:separator/>
      </w:r>
    </w:p>
  </w:footnote>
  <w:footnote w:type="continuationSeparator" w:id="0">
    <w:p w:rsidR="0013569D" w:rsidRDefault="0013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6F18-B157-4D3E-B9F5-B6CBB352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13</cp:revision>
  <cp:lastPrinted>2019-12-06T05:53:00Z</cp:lastPrinted>
  <dcterms:created xsi:type="dcterms:W3CDTF">2019-12-11T08:35:00Z</dcterms:created>
  <dcterms:modified xsi:type="dcterms:W3CDTF">2021-12-15T08:37:00Z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