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right"/>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ПРОЕКТ</w:t>
      </w:r>
    </w:p>
    <w:p>
      <w:pPr>
        <w:spacing w:after="0" w:line="240" w:lineRule="auto"/>
        <w:jc w:val="right"/>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КАБИНЕТ МИНИСТРОВ РЕСПУБЛИКИ ТАТАРСТАН</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 2021 № _____</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p>
    <w:p>
      <w:pPr>
        <w:spacing w:after="0" w:line="240" w:lineRule="auto"/>
        <w:ind w:right="5527"/>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ind w:right="5527"/>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3 части 2 статьи 3 Федерального закона от 31 июля 2020 года № 248-ФЗ «О государственном контроле (надзоре) и муниципальном контроле в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Республики Татарстан от 27 декабря 2007 года № 66</w:t>
      </w:r>
      <w:r>
        <w:rPr>
          <w:rFonts w:ascii="Times New Roman" w:eastAsia="Times New Roman" w:hAnsi="Times New Roman" w:cs="Times New Roman"/>
          <w:sz w:val="28"/>
          <w:szCs w:val="28"/>
          <w:lang w:eastAsia="ru-RU"/>
        </w:rPr>
        <w:noBreakHyphen/>
        <w:t>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Кабинет Министров Республики Татарстан постановляет:</w:t>
      </w: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Внести в постановление Кабинета Министров Республики Татарстан от 02.10.2021 №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изменение, изложив его в </w:t>
      </w:r>
      <w:hyperlink w:anchor="sub_100" w:history="1">
        <w:r>
          <w:rPr>
            <w:rStyle w:val="aa"/>
            <w:rFonts w:ascii="Times New Roman" w:eastAsia="Times New Roman" w:hAnsi="Times New Roman" w:cs="Times New Roman"/>
            <w:color w:val="auto"/>
            <w:sz w:val="28"/>
            <w:szCs w:val="28"/>
            <w:u w:val="none"/>
            <w:lang w:eastAsia="ru-RU"/>
          </w:rPr>
          <w:t>новой редакции</w:t>
        </w:r>
      </w:hyperlink>
      <w:r>
        <w:rPr>
          <w:rFonts w:ascii="Times New Roman" w:eastAsia="Times New Roman" w:hAnsi="Times New Roman" w:cs="Times New Roman"/>
          <w:sz w:val="28"/>
          <w:szCs w:val="28"/>
          <w:lang w:eastAsia="ru-RU"/>
        </w:rPr>
        <w:t xml:space="preserve"> (прилагается).</w:t>
      </w: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Татарстан                                                                               А.В. Песошин</w:t>
      </w:r>
    </w:p>
    <w:p>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tabs>
          <w:tab w:val="left" w:pos="6970"/>
        </w:tabs>
        <w:spacing w:after="0" w:line="240" w:lineRule="auto"/>
        <w:ind w:left="694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Утверждено</w:t>
      </w:r>
    </w:p>
    <w:p>
      <w:pPr>
        <w:autoSpaceDE w:val="0"/>
        <w:autoSpaceDN w:val="0"/>
        <w:adjustRightInd w:val="0"/>
        <w:spacing w:after="0" w:line="240" w:lineRule="auto"/>
        <w:ind w:left="6946"/>
        <w:jc w:val="both"/>
        <w:rPr>
          <w:rFonts w:ascii="Times New Roman" w:eastAsia="Calibri" w:hAnsi="Times New Roman" w:cs="Times New Roman"/>
          <w:bCs/>
          <w:sz w:val="28"/>
          <w:szCs w:val="28"/>
        </w:rPr>
      </w:pPr>
      <w:hyperlink w:anchor="sub_1" w:history="1">
        <w:r>
          <w:rPr>
            <w:rFonts w:ascii="Times New Roman" w:eastAsia="Calibri" w:hAnsi="Times New Roman" w:cs="Times New Roman"/>
            <w:sz w:val="28"/>
            <w:szCs w:val="28"/>
          </w:rPr>
          <w:t>постановлени</w:t>
        </w:r>
      </w:hyperlink>
      <w:r>
        <w:rPr>
          <w:rFonts w:ascii="Times New Roman" w:eastAsia="Calibri" w:hAnsi="Times New Roman" w:cs="Times New Roman"/>
          <w:sz w:val="28"/>
          <w:szCs w:val="28"/>
        </w:rPr>
        <w:t>ем</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Кабинета Министров</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Республики Татарстан</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 № ____</w:t>
      </w:r>
    </w:p>
    <w:p>
      <w:pPr>
        <w:autoSpaceDE w:val="0"/>
        <w:autoSpaceDN w:val="0"/>
        <w:adjustRightInd w:val="0"/>
        <w:spacing w:after="0" w:line="240" w:lineRule="auto"/>
        <w:ind w:left="6946"/>
        <w:jc w:val="both"/>
        <w:rPr>
          <w:rFonts w:ascii="Times New Roman" w:eastAsia="Calibri" w:hAnsi="Times New Roman" w:cs="Times New Roman"/>
          <w:bCs/>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Положение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pPr>
        <w:spacing w:after="0" w:line="240" w:lineRule="auto"/>
        <w:ind w:firstLine="709"/>
        <w:jc w:val="both"/>
        <w:rPr>
          <w:rFonts w:ascii="Times New Roman" w:hAnsi="Times New Roman" w:cs="Times New Roman"/>
          <w:sz w:val="28"/>
          <w:szCs w:val="28"/>
        </w:rPr>
      </w:pPr>
    </w:p>
    <w:p>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и принятыми в соответствии с ним иными нормативными правовыми актами Российской Федерации (далее – обязательные требования).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статье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 - Закон РТ №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Закона РТ № 66-ЗРТ (далее - контролирующие органы).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Региональный государственный контроль (надзор) осуществляется уполномоченными должностными лицами контролирующих органов.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Региональный государственный контроль (надзор) осуществляется следующими должностными лицами Инспекции:</w:t>
      </w: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Инспекции, заместители начальника Инспекции;</w:t>
      </w:r>
    </w:p>
    <w:p>
      <w:pPr>
        <w:pStyle w:val="a3"/>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начальник отдела по контролю за долевым строительством Управления правовой работы и контроля за долевым строительством (далее - отдел), ведущий консультант отдела, старший специалист отдела (далее – инспектор).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принятие решений о проведении контрольно-надзорных мероприятий в рамках осуществления регионального государственного контроля (надзора) уполномочены руководители (заместители руководителей) контролирующих органов. </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Объекты регионального государственного контроля (надзора)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p>
    <w:p>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2.1. Объектом государственного контроля является (далее - объект контроля):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eastAsia="Times New Roman" w:hAnsi="Times New Roman" w:cs="Times New Roman"/>
          <w:spacing w:val="1"/>
          <w:sz w:val="28"/>
          <w:szCs w:val="28"/>
        </w:rPr>
        <w:t xml:space="preserve">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являются объектами </w:t>
      </w:r>
      <w:r>
        <w:rPr>
          <w:rFonts w:ascii="Times New Roman" w:hAnsi="Times New Roman" w:cs="Times New Roman"/>
          <w:sz w:val="28"/>
          <w:szCs w:val="28"/>
        </w:rPr>
        <w:t>регионального</w:t>
      </w:r>
      <w:r>
        <w:rPr>
          <w:rFonts w:ascii="Times New Roman" w:eastAsia="Times New Roman" w:hAnsi="Times New Roman" w:cs="Times New Roman"/>
          <w:spacing w:val="1"/>
          <w:sz w:val="28"/>
          <w:szCs w:val="28"/>
        </w:rPr>
        <w:t xml:space="preserve"> государственного контроля (надзора) (далее – объекты контроля (надзора), контролируемые лица)</w:t>
      </w:r>
      <w:r>
        <w:rPr>
          <w:rFonts w:ascii="Times New Roman" w:hAnsi="Times New Roman" w:cs="Times New Roman"/>
          <w:sz w:val="28"/>
          <w:szCs w:val="28"/>
        </w:rPr>
        <w:t>.</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2.2. Учёт объектов регионального государственного контроля осуществляется путём ведения реестра с использованием следующих источников информации: обращения (заявления) граждан и организаций, единая информационная система жилищного строительства, средства массовой информации, органы государственной власти и органы местного самоуправления, государственные и региональные информационные системы по межведомственному информационному взаимодействию, контрольные (надзорные)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2.3. Органом государственного контроля осуществляется фиксация сведений об объектах контроля путем их внесения в учетные документы.</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Учетный документ может быть создан как на бумажном, так и на электронном носителе и представляет собой перечень сведений об объекте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Внесение сведений об объектах контроля осуществляется в течение пяти рабочих дней со дня их поступления.</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 Профилактика рисков причинения вреда (ущерба) охраняемым законом</w:t>
      </w:r>
      <w:r>
        <w:rPr>
          <w:rFonts w:ascii="Times New Roman" w:eastAsia="Times New Roman" w:hAnsi="Times New Roman" w:cs="Times New Roman"/>
          <w:sz w:val="28"/>
          <w:szCs w:val="28"/>
        </w:rPr>
        <w:t xml:space="preserve"> </w:t>
      </w:r>
      <w:r>
        <w:rPr>
          <w:rFonts w:ascii="Times New Roman" w:hAnsi="Times New Roman" w:cs="Times New Roman"/>
          <w:b/>
          <w:sz w:val="28"/>
          <w:szCs w:val="28"/>
        </w:rPr>
        <w:t>ценностям</w:t>
      </w:r>
    </w:p>
    <w:p>
      <w:pPr>
        <w:spacing w:after="0" w:line="240" w:lineRule="auto"/>
        <w:ind w:firstLine="709"/>
        <w:jc w:val="center"/>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При осуществлении регионального государственного контроля (надзора) контролирующие органы проводят следующие профилактические мероприятия: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обобщение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объявление предостережения;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консультирование;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профилактический визит.</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Информирование осуществляется в соответствии со статьей 46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Информирование осуществляется посредством размещения сведений, предусмотренных Федеральным законом № 248-ФЗ, на официальном сайте Службы в сети «Интернет», в средствах массовой информации.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Обобщение правоприменительной практики осуществляется в соответствии со статьей 47 Федерального закона № 248-ФЗ.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Доклады по обобщению правоприменительной практики контролирующих органов готовится 1 раз в год, утверждается приказом (распоряжением) руководителя контролирующего органа и в срок не позднее 15 марта года, следующего за отчетным, размещается на сайтах контролирующих органов.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Контролирующие органы, в соответствии с частью 3 статьи 47 Федерального закона № 248-ФЗ обеспечивают публичное обсуждение проекта доклада по обобщению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Объявление предостережения осуществляется в соответствии со статьей 49 Федерального закона № 248-ФЗ.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указанных предостережений, в котором указываются: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контролируемого лица;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 и номер предостережения, направленного в адрес контролируемого лица;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Возражение в отношении предостережения о недопустимости нарушения обязательных требований может быть подано контролируемым лицом на </w:t>
      </w:r>
      <w:r>
        <w:rPr>
          <w:rFonts w:ascii="Times New Roman" w:hAnsi="Times New Roman" w:cs="Times New Roman"/>
          <w:sz w:val="28"/>
          <w:szCs w:val="28"/>
        </w:rPr>
        <w:lastRenderedPageBreak/>
        <w:t xml:space="preserve">бумажном носителе нарочно, почтовым отправлением, или иными, указанными в таком предостережении способами.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предостережения о недопустимости нарушения обязательных требований контролирующий орган выносит одно из следующих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 оставлении предостережения в силе,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 отмене предостережения.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контролируемому лицу по возражению направляется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Учет</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предостережений</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недопустимости</w:t>
      </w:r>
      <w:r>
        <w:rPr>
          <w:rFonts w:ascii="Times New Roman" w:hAnsi="Times New Roman" w:cs="Times New Roman"/>
          <w:spacing w:val="1"/>
          <w:sz w:val="28"/>
          <w:szCs w:val="28"/>
        </w:rPr>
        <w:t xml:space="preserve"> </w:t>
      </w:r>
      <w:r>
        <w:rPr>
          <w:rFonts w:ascii="Times New Roman" w:hAnsi="Times New Roman" w:cs="Times New Roman"/>
          <w:sz w:val="28"/>
          <w:szCs w:val="28"/>
        </w:rPr>
        <w:t>нарушения</w:t>
      </w:r>
      <w:r>
        <w:rPr>
          <w:rFonts w:ascii="Times New Roman" w:hAnsi="Times New Roman" w:cs="Times New Roman"/>
          <w:spacing w:val="1"/>
          <w:sz w:val="28"/>
          <w:szCs w:val="28"/>
        </w:rPr>
        <w:t xml:space="preserve"> </w:t>
      </w:r>
      <w:r>
        <w:rPr>
          <w:rFonts w:ascii="Times New Roman" w:hAnsi="Times New Roman" w:cs="Times New Roman"/>
          <w:sz w:val="28"/>
          <w:szCs w:val="28"/>
        </w:rPr>
        <w:t>обязательных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требований осуществляется путем ведения журнала учета выданных предостережений о недопустимости нарушения обязательных требований.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Консультирование осуществляется в соответствии со статьей 50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консультирование осуществляется должностными лицами,</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указанными в пункте 1.4 настоящего Положения в устном или письменном </w:t>
      </w:r>
      <w:r>
        <w:rPr>
          <w:rFonts w:ascii="Times New Roman" w:hAnsi="Times New Roman" w:cs="Times New Roman"/>
          <w:spacing w:val="-67"/>
          <w:sz w:val="28"/>
          <w:szCs w:val="28"/>
        </w:rPr>
        <w:t xml:space="preserve">                        </w:t>
      </w:r>
      <w:r>
        <w:rPr>
          <w:rFonts w:ascii="Times New Roman" w:hAnsi="Times New Roman" w:cs="Times New Roman"/>
          <w:sz w:val="28"/>
          <w:szCs w:val="28"/>
        </w:rPr>
        <w:t>виде.</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Консультации</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предоставляются</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личном</w:t>
      </w:r>
      <w:r>
        <w:rPr>
          <w:rFonts w:ascii="Times New Roman" w:hAnsi="Times New Roman" w:cs="Times New Roman"/>
          <w:spacing w:val="1"/>
          <w:sz w:val="28"/>
          <w:szCs w:val="28"/>
        </w:rPr>
        <w:t xml:space="preserve"> </w:t>
      </w:r>
      <w:r>
        <w:rPr>
          <w:rFonts w:ascii="Times New Roman" w:hAnsi="Times New Roman" w:cs="Times New Roman"/>
          <w:sz w:val="28"/>
          <w:szCs w:val="28"/>
        </w:rPr>
        <w:t>обращении,</w:t>
      </w:r>
      <w:r>
        <w:rPr>
          <w:rFonts w:ascii="Times New Roman" w:hAnsi="Times New Roman" w:cs="Times New Roman"/>
          <w:spacing w:val="1"/>
          <w:sz w:val="28"/>
          <w:szCs w:val="28"/>
        </w:rPr>
        <w:t xml:space="preserve"> </w:t>
      </w:r>
      <w:r>
        <w:rPr>
          <w:rFonts w:ascii="Times New Roman" w:hAnsi="Times New Roman" w:cs="Times New Roman"/>
          <w:sz w:val="28"/>
          <w:szCs w:val="28"/>
        </w:rPr>
        <w:t>посредством</w:t>
      </w:r>
      <w:r>
        <w:rPr>
          <w:rFonts w:ascii="Times New Roman" w:hAnsi="Times New Roman" w:cs="Times New Roman"/>
          <w:spacing w:val="1"/>
          <w:sz w:val="28"/>
          <w:szCs w:val="28"/>
        </w:rPr>
        <w:t xml:space="preserve"> </w:t>
      </w:r>
      <w:r>
        <w:rPr>
          <w:rFonts w:ascii="Times New Roman" w:hAnsi="Times New Roman" w:cs="Times New Roman"/>
          <w:sz w:val="28"/>
          <w:szCs w:val="28"/>
        </w:rPr>
        <w:t>телефонной</w:t>
      </w:r>
      <w:r>
        <w:rPr>
          <w:rFonts w:ascii="Times New Roman" w:hAnsi="Times New Roman" w:cs="Times New Roman"/>
          <w:spacing w:val="1"/>
          <w:sz w:val="28"/>
          <w:szCs w:val="28"/>
        </w:rPr>
        <w:t xml:space="preserve"> </w:t>
      </w:r>
      <w:r>
        <w:rPr>
          <w:rFonts w:ascii="Times New Roman" w:hAnsi="Times New Roman" w:cs="Times New Roman"/>
          <w:sz w:val="28"/>
          <w:szCs w:val="28"/>
        </w:rPr>
        <w:t>связи,</w:t>
      </w:r>
      <w:r>
        <w:rPr>
          <w:rFonts w:ascii="Times New Roman" w:hAnsi="Times New Roman" w:cs="Times New Roman"/>
          <w:spacing w:val="1"/>
          <w:sz w:val="28"/>
          <w:szCs w:val="28"/>
        </w:rPr>
        <w:t xml:space="preserve"> </w:t>
      </w:r>
      <w:r>
        <w:rPr>
          <w:rFonts w:ascii="Times New Roman" w:hAnsi="Times New Roman" w:cs="Times New Roman"/>
          <w:sz w:val="28"/>
          <w:szCs w:val="28"/>
        </w:rPr>
        <w:t>электронной</w:t>
      </w:r>
      <w:r>
        <w:rPr>
          <w:rFonts w:ascii="Times New Roman" w:hAnsi="Times New Roman" w:cs="Times New Roman"/>
          <w:spacing w:val="1"/>
          <w:sz w:val="28"/>
          <w:szCs w:val="28"/>
        </w:rPr>
        <w:t xml:space="preserve"> </w:t>
      </w:r>
      <w:r>
        <w:rPr>
          <w:rFonts w:ascii="Times New Roman" w:hAnsi="Times New Roman" w:cs="Times New Roman"/>
          <w:sz w:val="28"/>
          <w:szCs w:val="28"/>
        </w:rPr>
        <w:t>почты,</w:t>
      </w:r>
      <w:r>
        <w:rPr>
          <w:rFonts w:ascii="Times New Roman" w:hAnsi="Times New Roman" w:cs="Times New Roman"/>
          <w:spacing w:val="1"/>
          <w:sz w:val="28"/>
          <w:szCs w:val="28"/>
        </w:rPr>
        <w:t xml:space="preserve"> </w:t>
      </w:r>
      <w:r>
        <w:rPr>
          <w:rFonts w:ascii="Times New Roman" w:hAnsi="Times New Roman" w:cs="Times New Roman"/>
          <w:sz w:val="28"/>
          <w:szCs w:val="28"/>
        </w:rPr>
        <w:t>видео-конференц-связи,</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получении</w:t>
      </w:r>
      <w:r>
        <w:rPr>
          <w:rFonts w:ascii="Times New Roman" w:hAnsi="Times New Roman" w:cs="Times New Roman"/>
          <w:spacing w:val="-67"/>
          <w:sz w:val="28"/>
          <w:szCs w:val="28"/>
        </w:rPr>
        <w:t xml:space="preserve"> </w:t>
      </w:r>
      <w:r>
        <w:rPr>
          <w:rFonts w:ascii="Times New Roman" w:hAnsi="Times New Roman" w:cs="Times New Roman"/>
          <w:sz w:val="28"/>
          <w:szCs w:val="28"/>
        </w:rPr>
        <w:t>письменного</w:t>
      </w:r>
      <w:r>
        <w:rPr>
          <w:rFonts w:ascii="Times New Roman" w:hAnsi="Times New Roman" w:cs="Times New Roman"/>
          <w:spacing w:val="1"/>
          <w:sz w:val="28"/>
          <w:szCs w:val="28"/>
        </w:rPr>
        <w:t xml:space="preserve"> </w:t>
      </w:r>
      <w:r>
        <w:rPr>
          <w:rFonts w:ascii="Times New Roman" w:hAnsi="Times New Roman" w:cs="Times New Roman"/>
          <w:sz w:val="28"/>
          <w:szCs w:val="28"/>
        </w:rPr>
        <w:t>запроса</w:t>
      </w:r>
      <w:r>
        <w:rPr>
          <w:rFonts w:ascii="Times New Roman" w:hAnsi="Times New Roman" w:cs="Times New Roman"/>
          <w:spacing w:val="1"/>
          <w:sz w:val="28"/>
          <w:szCs w:val="28"/>
        </w:rPr>
        <w:t xml:space="preserve"> –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письменной</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порядке,</w:t>
      </w:r>
      <w:r>
        <w:rPr>
          <w:rFonts w:ascii="Times New Roman" w:hAnsi="Times New Roman" w:cs="Times New Roman"/>
          <w:spacing w:val="1"/>
          <w:sz w:val="28"/>
          <w:szCs w:val="28"/>
        </w:rPr>
        <w:t xml:space="preserve"> </w:t>
      </w:r>
      <w:r>
        <w:rPr>
          <w:rFonts w:ascii="Times New Roman" w:hAnsi="Times New Roman" w:cs="Times New Roman"/>
          <w:sz w:val="28"/>
          <w:szCs w:val="28"/>
        </w:rPr>
        <w:t>установленном</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законодательством Российской Федерации о рассмотрении обращений граждан, а</w:t>
      </w:r>
      <w:r>
        <w:rPr>
          <w:rFonts w:ascii="Times New Roman" w:hAnsi="Times New Roman" w:cs="Times New Roman"/>
          <w:spacing w:val="1"/>
          <w:sz w:val="28"/>
          <w:szCs w:val="28"/>
        </w:rPr>
        <w:t xml:space="preserve"> </w:t>
      </w:r>
      <w:r>
        <w:rPr>
          <w:rFonts w:ascii="Times New Roman" w:hAnsi="Times New Roman" w:cs="Times New Roman"/>
          <w:sz w:val="28"/>
          <w:szCs w:val="28"/>
        </w:rPr>
        <w:t>также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ходе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r>
        <w:rPr>
          <w:rFonts w:ascii="Times New Roman" w:hAnsi="Times New Roman" w:cs="Times New Roman"/>
          <w:spacing w:val="1"/>
          <w:sz w:val="28"/>
          <w:szCs w:val="28"/>
        </w:rPr>
        <w:t xml:space="preserve"> </w:t>
      </w:r>
      <w:r>
        <w:rPr>
          <w:rFonts w:ascii="Times New Roman" w:hAnsi="Times New Roman" w:cs="Times New Roman"/>
          <w:sz w:val="28"/>
          <w:szCs w:val="28"/>
        </w:rPr>
        <w:t>контрольного</w:t>
      </w:r>
      <w:r>
        <w:rPr>
          <w:rFonts w:ascii="Times New Roman" w:hAnsi="Times New Roman" w:cs="Times New Roman"/>
          <w:spacing w:val="1"/>
          <w:sz w:val="28"/>
          <w:szCs w:val="28"/>
        </w:rPr>
        <w:t xml:space="preserve"> </w:t>
      </w:r>
      <w:r>
        <w:rPr>
          <w:rFonts w:ascii="Times New Roman" w:hAnsi="Times New Roman" w:cs="Times New Roman"/>
          <w:sz w:val="28"/>
          <w:szCs w:val="28"/>
        </w:rPr>
        <w:t>(надзорного)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контролирующего органа, и должно составлять не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граждан не должен превышать 15 минут.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консультации заносится в учетную карточку консультации, типовая форма которой утверждается контролирующим органом.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Учет карточек консультаций осуществляется путем ведения журнала карточек консультаций,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 порядке рассмотрения обращений граждан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личного приема на консультацию от граждан, обратившихся в 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контролирующего органа, иных участников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консультирование осуществляется по следующим вопросам:</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Контролирующий орган осуществляет письменное консультирование по вопросам, предусмотренным подпунктом 2 пункта 4.5 настоящего Положения»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Профилактический визит осуществляется в соответствии со статьей 52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профилактического визита инспектором может осуществляться консультирование контролируемого лица в порядке, установленном пунктом 4.5 настоящего 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w:t>
      </w:r>
      <w:r>
        <w:rPr>
          <w:rFonts w:ascii="Times New Roman" w:hAnsi="Times New Roman" w:cs="Times New Roman"/>
          <w:sz w:val="28"/>
          <w:szCs w:val="28"/>
        </w:rPr>
        <w:lastRenderedPageBreak/>
        <w:t>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Предложение о проведении профилактического визита направляется контролируемому лицу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не может превышать один рабочий день.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widowControl w:val="0"/>
        <w:autoSpaceDE w:val="0"/>
        <w:autoSpaceDN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6 месяцев.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установлено, что действия (бездействие) контролируемого лица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информирует об этом руководителя (заместителя руководителя) для принятия решения о проведении контрольных (надзорных) мероприятий</w:t>
      </w:r>
    </w:p>
    <w:p>
      <w:pPr>
        <w:widowControl w:val="0"/>
        <w:autoSpaceDE w:val="0"/>
        <w:autoSpaceDN w:val="0"/>
        <w:spacing w:after="0" w:line="240" w:lineRule="auto"/>
        <w:ind w:firstLine="709"/>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Осуществление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Плановые контрольные (надзорные) мероприятия при осуществлении </w:t>
      </w:r>
      <w:r>
        <w:rPr>
          <w:rFonts w:ascii="Times New Roman" w:hAnsi="Times New Roman" w:cs="Times New Roman"/>
          <w:sz w:val="28"/>
          <w:szCs w:val="28"/>
        </w:rPr>
        <w:lastRenderedPageBreak/>
        <w:t>регионального государственного контроля (надзора) в отношении контролируемых лиц не проводятся.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Основаниями для проведения документарной проверки являются: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истечение срока исполнения решения контролирующего органа об устранении выявленного нарушения обязательных требований – в случаях, установленных </w:t>
      </w:r>
      <w:hyperlink r:id="rId8" w:history="1">
        <w:r>
          <w:rPr>
            <w:rFonts w:ascii="Times New Roman" w:hAnsi="Times New Roman" w:cs="Times New Roman"/>
            <w:sz w:val="28"/>
            <w:szCs w:val="28"/>
          </w:rPr>
          <w:t>частью 1 статьи 95</w:t>
        </w:r>
      </w:hyperlink>
      <w:r>
        <w:rPr>
          <w:rFonts w:ascii="Times New Roman" w:hAnsi="Times New Roman" w:cs="Times New Roman"/>
          <w:sz w:val="28"/>
          <w:szCs w:val="28"/>
        </w:rPr>
        <w:t xml:space="preserve">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проводится без согласования с органами прокуратуры.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Внеплановая документарная проверка проводится по месту нахождения контролирующего органа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Сведения о причинении вреда (ущерба) или об угрозе причинения вреда (ущерба) охраняемым законом ценностям контролирующий орган получает: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контролирующего органа проводится оценка их достоверности.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контролирующего органа при </w:t>
      </w:r>
      <w:r>
        <w:rPr>
          <w:rFonts w:ascii="Times New Roman" w:hAnsi="Times New Roman" w:cs="Times New Roman"/>
          <w:sz w:val="28"/>
          <w:szCs w:val="28"/>
        </w:rPr>
        <w:lastRenderedPageBreak/>
        <w:t xml:space="preserve">необходимости: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обеспечивает, в том числе по решению руководителя (заместителя руководителя) контролирующего органа, проведение контрольного (надзорного) мероприятия без взаимодействия.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(заместителю руководителя) контролирующего органа: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контрольных (надзорных) мероприятий.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документарной проверки совершаются следующие контрольные (надзорные) 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получение письменных объяснений;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истребование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Получение письменных объяснений производится посредством запроса контролирующим органом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Объяснения оформляются путем составления письменного документа в свободной форме.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Pr>
          <w:rFonts w:ascii="Times New Roman" w:hAnsi="Times New Roman" w:cs="Times New Roman"/>
          <w:sz w:val="28"/>
          <w:szCs w:val="28"/>
        </w:rPr>
        <w:tab/>
        <w:t xml:space="preserve"> Истребование документов осуществляется посредством предъявления (направления) контролирующим органом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Истребуемые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представления заверенных копий истребуемых документов инспектор вправе ознакомиться с подлинниками документов.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которые истребуются в ходе контрольного мероприятия, должны быть представлены контролируемым лицом в контролирующий орган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контролирующий орган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контролирующий орган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статьей 21 </w:t>
      </w:r>
      <w:r>
        <w:rPr>
          <w:rFonts w:ascii="Times New Roman" w:hAnsi="Times New Roman" w:cs="Times New Roman"/>
          <w:sz w:val="28"/>
          <w:szCs w:val="28"/>
        </w:rPr>
        <w:lastRenderedPageBreak/>
        <w:t>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контролирующий орган, указанные в требовании документы.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контролирующего органа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контролирующий орган. </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4.8. Контролируемое лицо, вправе представить в орган государственного контроля информацию о невозможности присутствия при проведении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в случае введения режима повышенной готовности или чрезвычайной ситуации на всей территории Российской Федерации либо на ее части;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при наличии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w:t>
      </w:r>
      <w:r>
        <w:rPr>
          <w:rFonts w:ascii="Times New Roman" w:hAnsi="Times New Roman" w:cs="Times New Roman"/>
          <w:sz w:val="28"/>
          <w:szCs w:val="28"/>
        </w:rPr>
        <w:lastRenderedPageBreak/>
        <w:t>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Наблюдения за соблюдением обязательных требований проводятся на основании задания, утверждаемого руководителем (заместителем руководителя) контролирующего органа.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Результаты контрольно-надзорного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По окончании проведения контрольно-надзорного мероприятия составляется акт контрольно-надзорного мероприятия (</w:t>
      </w:r>
      <w:hyperlink r:id="rId9" w:history="1">
        <w:r>
          <w:rPr>
            <w:rFonts w:ascii="Times New Roman" w:hAnsi="Times New Roman" w:cs="Times New Roman"/>
            <w:sz w:val="28"/>
            <w:szCs w:val="28"/>
          </w:rPr>
          <w:t>типовая форма</w:t>
        </w:r>
      </w:hyperlink>
      <w:r>
        <w:rPr>
          <w:rFonts w:ascii="Times New Roman" w:hAnsi="Times New Roman" w:cs="Times New Roman"/>
          <w:sz w:val="28"/>
          <w:szCs w:val="28"/>
        </w:rPr>
        <w:t xml:space="preserve"> акта документарной проверки и акта выездной проверки утверждена </w:t>
      </w:r>
      <w:hyperlink r:id="rId10"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экономического развития РФ от 31 марта 2021 г. № 151</w:t>
      </w:r>
      <w:r>
        <w:rPr>
          <w:rFonts w:ascii="Times New Roman" w:hAnsi="Times New Roman" w:cs="Times New Roman"/>
          <w:sz w:val="28"/>
          <w:szCs w:val="28"/>
        </w:rPr>
        <w:br/>
        <w:t>«О типовых формах документов, используемых контрольным (надзорным) органом»).</w:t>
      </w:r>
    </w:p>
    <w:p>
      <w:pPr>
        <w:ind w:firstLine="851"/>
        <w:jc w:val="both"/>
        <w:rPr>
          <w:rFonts w:ascii="Times New Roman" w:hAnsi="Times New Roman" w:cs="Times New Roman"/>
          <w:sz w:val="28"/>
          <w:szCs w:val="28"/>
        </w:rPr>
      </w:pPr>
      <w:r>
        <w:rPr>
          <w:rFonts w:ascii="Times New Roman" w:hAnsi="Times New Roman" w:cs="Times New Roman"/>
          <w:sz w:val="28"/>
          <w:szCs w:val="28"/>
        </w:rPr>
        <w:t>5.2. В случае выявления при проведении контрольно-надзорного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контрольно-надзорного мероприятия контролируемому лицу предписание об устранении выявленных нарушений  (Приложение № 2 к настоящему Положению)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spacing w:after="0" w:line="240" w:lineRule="auto"/>
        <w:ind w:firstLine="851"/>
        <w:jc w:val="center"/>
        <w:rPr>
          <w:rFonts w:ascii="Times New Roman" w:hAnsi="Times New Roman" w:cs="Times New Roman"/>
          <w:b/>
          <w:sz w:val="28"/>
          <w:szCs w:val="28"/>
        </w:rPr>
      </w:pPr>
    </w:p>
    <w:p>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Обжалование решений контролирующих органов, действий (бездействия) их должностных лиц</w:t>
      </w:r>
    </w:p>
    <w:p>
      <w:pPr>
        <w:spacing w:after="0" w:line="240" w:lineRule="auto"/>
        <w:ind w:firstLine="851"/>
        <w:jc w:val="center"/>
        <w:rPr>
          <w:rFonts w:ascii="Times New Roman" w:hAnsi="Times New Roman" w:cs="Times New Roman"/>
          <w:b/>
          <w:sz w:val="28"/>
          <w:szCs w:val="28"/>
        </w:rPr>
      </w:pP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решений о проведении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актов контрольных (надзорных) мероприятий, предписаний об устранении выявленных нарушений;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статьями 39 - 43 Федерального закона № 248-ФЗ.</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Контролирующим органом в случае поступления ходатайства рассматриваются следующие вопросы, связанные с исполнением решений по </w:t>
      </w:r>
      <w:r>
        <w:rPr>
          <w:rFonts w:ascii="Times New Roman" w:eastAsia="Times New Roman" w:hAnsi="Times New Roman" w:cs="Times New Roman"/>
          <w:sz w:val="28"/>
          <w:szCs w:val="28"/>
        </w:rPr>
        <w:lastRenderedPageBreak/>
        <w:t xml:space="preserve">результатам проведения контрольных (надзорных) мероприятий: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 разъяснении способа и порядка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отсрочке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 приостановлении исполнения решения, возобновлении ранее приостановленного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 прекращении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 связанные с исполнением решений, рассматриваются руководителем (заместителем руководителя) контролирующего органа в присутствии инспектора, вынесшего (подготовившего) решение,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 руководителю (заместителю руководителю) контролирующего органа. В случае отсутствия указанного инспектора вопросы рассматриваются в присутствии иного инспектора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В случае обжалования решений контролирующего органа, принятых ее центральным аппаратом, действий (бездействия) должностных лиц центрального аппарата контролирующего органа жалоба рассматривается руководителем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решение контролирующего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предписание контролирующего органа может быть подана в течение десяти рабочих дней с момента получения контролируемым лицом предписания.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может содержать ходатайство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Уполномоченное на рассмотрение жалобы должностное лицо контролирующего органа в срок не позднее двух рабочих дней со дня регистрации жалобы принимает решение:</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отказе в приостановлении исполнения обжалуемого решения </w:t>
      </w:r>
      <w:r>
        <w:rPr>
          <w:rFonts w:ascii="Times New Roman" w:eastAsia="Times New Roman" w:hAnsi="Times New Roman" w:cs="Times New Roman"/>
          <w:sz w:val="28"/>
          <w:szCs w:val="28"/>
        </w:rPr>
        <w:lastRenderedPageBreak/>
        <w:t>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принятом по жалобе решении направляется лицу, подавшему жалобу, в течение одного рабочего дня с момента принятия решения.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подлежит рассмотрению в срок, не превышающий двадцати рабочих дней со дня ее регистрации.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контролирующим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рассмотрения жалобы контролирующий орган принимает одно из следующих решений: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оставляет жалобу без удовлетворения;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 xml:space="preserve">отменяет решение контролирующего органа полностью или частично;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отменяет решение контролирующего органа полностью и принимает новое решение;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в срок не позднее одного рабочего дня со дня его принятия.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Контролирующий орган принимает решение об отказе в рассмотрении жалобы в течение пяти рабочих дней с момента получения жалобы, если: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жалоба подана после истечения сроков подачи жалобы, установленных Федеральным законом № 248-ФЗ, и не содержит ходатайства о восстановлении пропущенного срока на подачу жалобы;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в удовлетворении ходатайства о восстановлении пропущенного срока на подачу жалобы отказано;</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до принятия решения по жалобе от контролируемого лица, ее подавшего, поступило заявление об отзыве жалобы;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имеется решение суда по вопросам, поставленным в жалобе;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 xml:space="preserve">ранее в контролирующий орган была подана другая жалоба от того же контролируемого лица по тем же основаниям;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 xml:space="preserve">жалоба содержит нецензурные либо оскорбительные выражения, угрозы жизни, здоровью и имуществу должностных лиц контрольного </w:t>
      </w:r>
      <w:r>
        <w:rPr>
          <w:rFonts w:ascii="Times New Roman" w:eastAsia="Times New Roman" w:hAnsi="Times New Roman" w:cs="Times New Roman"/>
          <w:sz w:val="28"/>
          <w:szCs w:val="28"/>
        </w:rPr>
        <w:lastRenderedPageBreak/>
        <w:t>(надзорного) органа, а также членов их семей;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жалоба подана в ненадлежащий уполномоченный орган;</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законодательством Российской Федерации предусмотрен только судебный порядок обжалования решений контрольного (надзорного) органа. </w:t>
      </w:r>
    </w:p>
    <w:p>
      <w:pPr>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VI</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rPr>
        <w:tab/>
        <w:t>Ключевые показатели государственного контроля (надзора)</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и их целевые значения</w:t>
      </w:r>
    </w:p>
    <w:p>
      <w:pPr>
        <w:autoSpaceDE w:val="0"/>
        <w:autoSpaceDN w:val="0"/>
        <w:adjustRightInd w:val="0"/>
        <w:spacing w:after="0" w:line="240" w:lineRule="auto"/>
        <w:jc w:val="center"/>
        <w:outlineLvl w:val="0"/>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Ключевыми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Снижение доли проблемных объектов долевого строительства в общем количестве объектов долевого строительства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РТ № 66-ЗРТ), процентов (показатель группы А.3.1).</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2021 год - ≤14,4 %;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2022 год - ≤14,2 %;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2023 год - ≤14,0 %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Индикативными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Увеличение (рост) доли предоставленных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сроки, от общего количества застройщиков, у которых имеется обязанность представлять ежеквартальную отчетность, процентов (показатель группы В.3.4.5.), ≥90 %.</w:t>
      </w:r>
    </w:p>
    <w:p>
      <w:pPr>
        <w:pStyle w:val="a3"/>
        <w:spacing w:after="0" w:line="240" w:lineRule="auto"/>
        <w:ind w:left="0"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Доля проверок, результаты которых признаны недействительными, процентов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РТ № 66-ЗРТ) (показатель группы В.3.1.24.), ≤5%.</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 Доля предупреждений в общем количестве административных наказаний, процентов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РТ № 66-ЗРТ) (показатель группы В.3.2.9.), ≥ 10%.</w:t>
      </w:r>
    </w:p>
    <w:p>
      <w:pPr>
        <w:pStyle w:val="a3"/>
        <w:ind w:left="0" w:firstLine="567"/>
        <w:jc w:val="both"/>
        <w:rPr>
          <w:rFonts w:ascii="Times New Roman" w:hAnsi="Times New Roman"/>
          <w:sz w:val="28"/>
          <w:szCs w:val="28"/>
        </w:rPr>
      </w:pPr>
      <w:r>
        <w:rPr>
          <w:rFonts w:ascii="Times New Roman" w:hAnsi="Times New Roman"/>
          <w:sz w:val="28"/>
          <w:szCs w:val="28"/>
        </w:rPr>
        <w:t>7.3.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pPr>
        <w:pStyle w:val="a3"/>
        <w:ind w:left="0" w:firstLine="567"/>
        <w:jc w:val="both"/>
        <w:rPr>
          <w:rFonts w:ascii="Times New Roman" w:hAnsi="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VIII</w:t>
      </w:r>
      <w:r>
        <w:rPr>
          <w:rFonts w:ascii="Times New Roman" w:hAnsi="Times New Roman" w:cs="Times New Roman"/>
          <w:b/>
          <w:sz w:val="28"/>
          <w:szCs w:val="28"/>
        </w:rPr>
        <w:t xml:space="preserve">. Перечень индикаторов риска нарушения обязательных требований при осуществлении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Получение информации, содержащей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предоставление которой является обязательной в соответствии с нормативными правовыми актами.</w:t>
      </w:r>
    </w:p>
    <w:p>
      <w:pPr>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8.2.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8.3.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sectPr>
      <w:headerReference w:type="default" r:id="rId11"/>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322702"/>
      <w:docPartObj>
        <w:docPartGallery w:val="Page Numbers (Top of Page)"/>
        <w:docPartUnique/>
      </w:docPartObj>
    </w:sdtPr>
    <w:sdtEndPr>
      <w:rPr>
        <w:rFonts w:ascii="Times New Roman" w:hAnsi="Times New Roman" w:cs="Times New Roman"/>
        <w:sz w:val="28"/>
        <w:szCs w:val="28"/>
      </w:rPr>
    </w:sdtEndPr>
    <w:sdtContent>
      <w:p>
        <w:pPr>
          <w:pStyle w:val="a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rPr>
          <w:t>17</w:t>
        </w:r>
        <w:r>
          <w:rPr>
            <w:rFonts w:ascii="Times New Roman" w:hAnsi="Times New Roman" w:cs="Times New Roman"/>
            <w:sz w:val="28"/>
            <w:szCs w:val="28"/>
          </w:rPr>
          <w:fldChar w:fldCharType="end"/>
        </w:r>
      </w:p>
    </w:sdtContent>
  </w:sdt>
  <w:p>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D19"/>
    <w:multiLevelType w:val="hybridMultilevel"/>
    <w:tmpl w:val="01F440A0"/>
    <w:lvl w:ilvl="0" w:tplc="A3FA53FA">
      <w:start w:val="2"/>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231A28"/>
    <w:multiLevelType w:val="hybridMultilevel"/>
    <w:tmpl w:val="774E870C"/>
    <w:lvl w:ilvl="0" w:tplc="A93E48B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1FCD3C79"/>
    <w:multiLevelType w:val="multilevel"/>
    <w:tmpl w:val="583E9482"/>
    <w:lvl w:ilvl="0">
      <w:start w:val="1"/>
      <w:numFmt w:val="decimal"/>
      <w:lvlText w:val="%1."/>
      <w:lvlJc w:val="left"/>
      <w:pPr>
        <w:ind w:left="450" w:hanging="450"/>
      </w:pPr>
      <w:rPr>
        <w:rFonts w:eastAsiaTheme="minorHAnsi" w:hint="default"/>
        <w:color w:val="000000"/>
      </w:rPr>
    </w:lvl>
    <w:lvl w:ilvl="1">
      <w:start w:val="2"/>
      <w:numFmt w:val="decimal"/>
      <w:lvlText w:val="%1.%2."/>
      <w:lvlJc w:val="left"/>
      <w:pPr>
        <w:ind w:left="1789" w:hanging="720"/>
      </w:pPr>
      <w:rPr>
        <w:rFonts w:eastAsiaTheme="minorHAnsi" w:hint="default"/>
        <w:color w:val="000000"/>
      </w:rPr>
    </w:lvl>
    <w:lvl w:ilvl="2">
      <w:start w:val="1"/>
      <w:numFmt w:val="decimal"/>
      <w:lvlText w:val="%1.%2.%3."/>
      <w:lvlJc w:val="left"/>
      <w:pPr>
        <w:ind w:left="2858" w:hanging="720"/>
      </w:pPr>
      <w:rPr>
        <w:rFonts w:eastAsiaTheme="minorHAnsi" w:hint="default"/>
        <w:color w:val="000000"/>
      </w:rPr>
    </w:lvl>
    <w:lvl w:ilvl="3">
      <w:start w:val="1"/>
      <w:numFmt w:val="decimal"/>
      <w:lvlText w:val="%1.%2.%3.%4."/>
      <w:lvlJc w:val="left"/>
      <w:pPr>
        <w:ind w:left="4287" w:hanging="1080"/>
      </w:pPr>
      <w:rPr>
        <w:rFonts w:eastAsiaTheme="minorHAnsi" w:hint="default"/>
        <w:color w:val="000000"/>
      </w:rPr>
    </w:lvl>
    <w:lvl w:ilvl="4">
      <w:start w:val="1"/>
      <w:numFmt w:val="decimal"/>
      <w:lvlText w:val="%1.%2.%3.%4.%5."/>
      <w:lvlJc w:val="left"/>
      <w:pPr>
        <w:ind w:left="5356" w:hanging="1080"/>
      </w:pPr>
      <w:rPr>
        <w:rFonts w:eastAsiaTheme="minorHAnsi" w:hint="default"/>
        <w:color w:val="000000"/>
      </w:rPr>
    </w:lvl>
    <w:lvl w:ilvl="5">
      <w:start w:val="1"/>
      <w:numFmt w:val="decimal"/>
      <w:lvlText w:val="%1.%2.%3.%4.%5.%6."/>
      <w:lvlJc w:val="left"/>
      <w:pPr>
        <w:ind w:left="6785" w:hanging="1440"/>
      </w:pPr>
      <w:rPr>
        <w:rFonts w:eastAsiaTheme="minorHAnsi" w:hint="default"/>
        <w:color w:val="000000"/>
      </w:rPr>
    </w:lvl>
    <w:lvl w:ilvl="6">
      <w:start w:val="1"/>
      <w:numFmt w:val="decimal"/>
      <w:lvlText w:val="%1.%2.%3.%4.%5.%6.%7."/>
      <w:lvlJc w:val="left"/>
      <w:pPr>
        <w:ind w:left="8214" w:hanging="1800"/>
      </w:pPr>
      <w:rPr>
        <w:rFonts w:eastAsiaTheme="minorHAnsi" w:hint="default"/>
        <w:color w:val="000000"/>
      </w:rPr>
    </w:lvl>
    <w:lvl w:ilvl="7">
      <w:start w:val="1"/>
      <w:numFmt w:val="decimal"/>
      <w:lvlText w:val="%1.%2.%3.%4.%5.%6.%7.%8."/>
      <w:lvlJc w:val="left"/>
      <w:pPr>
        <w:ind w:left="9283" w:hanging="1800"/>
      </w:pPr>
      <w:rPr>
        <w:rFonts w:eastAsiaTheme="minorHAnsi" w:hint="default"/>
        <w:color w:val="000000"/>
      </w:rPr>
    </w:lvl>
    <w:lvl w:ilvl="8">
      <w:start w:val="1"/>
      <w:numFmt w:val="decimal"/>
      <w:lvlText w:val="%1.%2.%3.%4.%5.%6.%7.%8.%9."/>
      <w:lvlJc w:val="left"/>
      <w:pPr>
        <w:ind w:left="10712" w:hanging="2160"/>
      </w:pPr>
      <w:rPr>
        <w:rFonts w:eastAsiaTheme="minorHAnsi" w:hint="default"/>
        <w:color w:val="000000"/>
      </w:rPr>
    </w:lvl>
  </w:abstractNum>
  <w:abstractNum w:abstractNumId="3" w15:restartNumberingAfterBreak="0">
    <w:nsid w:val="21D05658"/>
    <w:multiLevelType w:val="hybridMultilevel"/>
    <w:tmpl w:val="9AECCCE2"/>
    <w:lvl w:ilvl="0" w:tplc="8BF84BF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2D8A3B04"/>
    <w:multiLevelType w:val="hybridMultilevel"/>
    <w:tmpl w:val="84343246"/>
    <w:lvl w:ilvl="0" w:tplc="04190011">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670EA2"/>
    <w:multiLevelType w:val="hybridMultilevel"/>
    <w:tmpl w:val="78804F20"/>
    <w:lvl w:ilvl="0" w:tplc="841C9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D775A83"/>
    <w:multiLevelType w:val="hybridMultilevel"/>
    <w:tmpl w:val="F27AB744"/>
    <w:lvl w:ilvl="0" w:tplc="B1E08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EDF6BB8"/>
    <w:multiLevelType w:val="hybridMultilevel"/>
    <w:tmpl w:val="7BC0E3F6"/>
    <w:lvl w:ilvl="0" w:tplc="099CF18E">
      <w:start w:val="2023"/>
      <w:numFmt w:val="decimal"/>
      <w:lvlText w:val="%1"/>
      <w:lvlJc w:val="left"/>
      <w:pPr>
        <w:ind w:left="1308" w:hanging="6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A8A6FBC"/>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num w:numId="1">
    <w:abstractNumId w:val="4"/>
  </w:num>
  <w:num w:numId="2">
    <w:abstractNumId w:val="6"/>
  </w:num>
  <w:num w:numId="3">
    <w:abstractNumId w:val="8"/>
  </w:num>
  <w:num w:numId="4">
    <w:abstractNumId w:val="0"/>
  </w:num>
  <w:num w:numId="5">
    <w:abstractNumId w:val="2"/>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062B2-450F-453F-BAA9-47BED512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Pr>
      <w:rFonts w:ascii="Arial" w:eastAsia="Times New Roman" w:hAnsi="Arial" w:cs="Arial"/>
      <w:b/>
      <w:bCs/>
      <w:color w:val="000080"/>
      <w:sz w:val="24"/>
      <w:szCs w:val="24"/>
      <w:lang w:eastAsia="ru-RU"/>
    </w:rPr>
  </w:style>
  <w:style w:type="character" w:customStyle="1" w:styleId="pt-a0">
    <w:name w:val="pt-a0"/>
  </w:style>
  <w:style w:type="paragraph" w:customStyle="1" w:styleId="pt-a-000005">
    <w:name w:val="pt-a-00000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Emphasis"/>
    <w:basedOn w:val="a0"/>
    <w:uiPriority w:val="20"/>
    <w:qFormat/>
    <w:rPr>
      <w:i/>
      <w:iCs/>
    </w:rPr>
  </w:style>
  <w:style w:type="character" w:styleId="aa">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AC6D6E4FF20C61A003591E35045081F3F129DE4A7A8B357653D69305DC4BFA6EF608DD33FFDBCB5970D0F5D2DAF23370A25248CDEAB541AEl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67036.0" TargetMode="External"/><Relationship Id="rId4" Type="http://schemas.openxmlformats.org/officeDocument/2006/relationships/settings" Target="settings.xml"/><Relationship Id="rId9" Type="http://schemas.openxmlformats.org/officeDocument/2006/relationships/hyperlink" Target="garantF1://12067036.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C2E5-8461-443E-AE66-DD0497FE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6192</Words>
  <Characters>35300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Булатова</cp:lastModifiedBy>
  <cp:revision>2</cp:revision>
  <dcterms:created xsi:type="dcterms:W3CDTF">2021-11-23T08:50:00Z</dcterms:created>
  <dcterms:modified xsi:type="dcterms:W3CDTF">2021-11-23T08:50:00Z</dcterms:modified>
</cp:coreProperties>
</file>