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66" w:rsidRPr="00C043F7" w:rsidRDefault="00CC2666" w:rsidP="00CC266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CC2666" w:rsidRPr="00C043F7" w:rsidRDefault="00CC2666" w:rsidP="00CC2666">
      <w:pPr>
        <w:jc w:val="right"/>
        <w:rPr>
          <w:sz w:val="24"/>
          <w:szCs w:val="24"/>
        </w:rPr>
      </w:pPr>
    </w:p>
    <w:p w:rsidR="00CC2666" w:rsidRPr="00C043F7" w:rsidRDefault="00CC2666" w:rsidP="00CC266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CC2666" w:rsidRPr="00C043F7" w:rsidRDefault="00CC2666" w:rsidP="00CC266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CC2666" w:rsidRPr="00C043F7" w:rsidRDefault="00CC2666" w:rsidP="00CC266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CC2666" w:rsidRPr="00C043F7" w:rsidRDefault="00CC2666" w:rsidP="00CC266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CC2666" w:rsidRPr="00C043F7" w:rsidRDefault="00CC2666" w:rsidP="00CC266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CC2666" w:rsidRPr="00C043F7" w:rsidRDefault="00CC2666" w:rsidP="00CC2666">
      <w:pPr>
        <w:jc w:val="center"/>
        <w:rPr>
          <w:szCs w:val="28"/>
        </w:rPr>
      </w:pPr>
    </w:p>
    <w:p w:rsidR="00CC2666" w:rsidRPr="00C043F7" w:rsidRDefault="00CC2666" w:rsidP="00CC266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B40E10">
        <w:tc>
          <w:tcPr>
            <w:tcW w:w="5211" w:type="dxa"/>
            <w:shd w:val="clear" w:color="auto" w:fill="auto"/>
          </w:tcPr>
          <w:p w:rsidR="00815A44" w:rsidRPr="00B40E10" w:rsidRDefault="0054549D" w:rsidP="00450537">
            <w:pPr>
              <w:jc w:val="both"/>
              <w:rPr>
                <w:szCs w:val="28"/>
              </w:rPr>
            </w:pPr>
            <w:r w:rsidRPr="00B40E10">
              <w:t>О корректировке на 201</w:t>
            </w:r>
            <w:r w:rsidR="00450537">
              <w:t>9</w:t>
            </w:r>
            <w:r w:rsidR="00CC2666" w:rsidRPr="00B40E10">
              <w:t xml:space="preserve"> год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Татарстан, установленных постановлением Государственного комитета Республики Татарстан по тарифам </w:t>
            </w:r>
            <w:r w:rsidR="001016EA">
              <w:t xml:space="preserve">от 10.12.2014 </w:t>
            </w:r>
            <w:r w:rsidR="00CC2666" w:rsidRPr="00B40E10">
              <w:t xml:space="preserve">№ 3-11/э 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924852">
        <w:fldChar w:fldCharType="begin"/>
      </w:r>
      <w:r w:rsidR="00924852">
        <w:instrText xml:space="preserve"> HYPERLINK "consultantplus://offline/ref=D07BD0FF69BCFBA293D10BF8A6BEC3114DDE01A1F8933512891A1F4EC0E8T7K" </w:instrText>
      </w:r>
      <w:r w:rsidR="00924852">
        <w:fldChar w:fldCharType="separate"/>
      </w:r>
      <w:r>
        <w:rPr>
          <w:szCs w:val="28"/>
        </w:rPr>
        <w:t>остановлением</w:t>
      </w:r>
      <w:r w:rsidR="00924852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</w:t>
      </w:r>
      <w:r w:rsidR="004C74FA">
        <w:rPr>
          <w:szCs w:val="28"/>
        </w:rPr>
        <w:t xml:space="preserve">ой Федерации от </w:t>
      </w:r>
      <w:r w:rsidR="0054549D">
        <w:rPr>
          <w:szCs w:val="28"/>
        </w:rPr>
        <w:t xml:space="preserve">              </w:t>
      </w:r>
      <w:r w:rsidR="004C74FA">
        <w:rPr>
          <w:szCs w:val="28"/>
        </w:rPr>
        <w:t xml:space="preserve">29 декабря 2011 </w:t>
      </w:r>
      <w:r w:rsidR="0054549D">
        <w:rPr>
          <w:szCs w:val="28"/>
        </w:rPr>
        <w:t>г</w:t>
      </w:r>
      <w:r w:rsidR="00B40E10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</w:t>
      </w:r>
      <w:r w:rsidR="0054549D">
        <w:rPr>
          <w:szCs w:val="28"/>
        </w:rPr>
        <w:t xml:space="preserve">      </w:t>
      </w:r>
      <w:r w:rsidRPr="008B17A6">
        <w:rPr>
          <w:szCs w:val="28"/>
        </w:rPr>
        <w:t xml:space="preserve"> 6 августа </w:t>
      </w:r>
      <w:r w:rsidR="00C83975">
        <w:rPr>
          <w:szCs w:val="28"/>
        </w:rPr>
        <w:t xml:space="preserve"> </w:t>
      </w:r>
      <w:r w:rsidRPr="008B17A6">
        <w:rPr>
          <w:szCs w:val="28"/>
        </w:rPr>
        <w:t>2004 г</w:t>
      </w:r>
      <w:r w:rsidR="00B40E10">
        <w:rPr>
          <w:szCs w:val="28"/>
        </w:rPr>
        <w:t>.</w:t>
      </w:r>
      <w:r w:rsidR="004C74FA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</w:t>
      </w:r>
      <w:r w:rsidR="00B40E10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proofErr w:type="gramStart"/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B40E10">
        <w:rPr>
          <w:szCs w:val="28"/>
        </w:rPr>
        <w:t>15.</w:t>
      </w:r>
      <w:r w:rsidR="002D46D9" w:rsidRPr="002D46D9">
        <w:rPr>
          <w:szCs w:val="28"/>
        </w:rPr>
        <w:t>06</w:t>
      </w:r>
      <w:r w:rsidR="00B40E10">
        <w:rPr>
          <w:szCs w:val="28"/>
        </w:rPr>
        <w:t>.2010</w:t>
      </w:r>
      <w:r w:rsidR="004C74FA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CC2666">
        <w:rPr>
          <w:szCs w:val="28"/>
        </w:rPr>
        <w:t xml:space="preserve">, </w:t>
      </w:r>
      <w:r w:rsidR="00455443">
        <w:rPr>
          <w:szCs w:val="28"/>
        </w:rPr>
        <w:t xml:space="preserve">в целях корректировки </w:t>
      </w:r>
      <w:r w:rsidR="00CC2666">
        <w:rPr>
          <w:szCs w:val="28"/>
        </w:rPr>
        <w:t>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</w:t>
      </w:r>
      <w:r w:rsidR="00177FFA" w:rsidRPr="00177FFA">
        <w:rPr>
          <w:szCs w:val="28"/>
        </w:rPr>
        <w:t xml:space="preserve"> </w:t>
      </w:r>
      <w:r w:rsidR="00177FFA">
        <w:rPr>
          <w:szCs w:val="28"/>
        </w:rPr>
        <w:t xml:space="preserve">и </w:t>
      </w:r>
      <w:r w:rsidR="00E26604">
        <w:rPr>
          <w:szCs w:val="28"/>
        </w:rPr>
        <w:t>необходимой</w:t>
      </w:r>
      <w:proofErr w:type="gramEnd"/>
      <w:r w:rsidR="00E26604">
        <w:rPr>
          <w:szCs w:val="28"/>
        </w:rPr>
        <w:t xml:space="preserve"> валовой выручки</w:t>
      </w:r>
      <w:r w:rsidR="00CC2666">
        <w:rPr>
          <w:szCs w:val="28"/>
        </w:rPr>
        <w:t xml:space="preserve"> регулируемы</w:t>
      </w:r>
      <w:r w:rsidR="0054549D">
        <w:rPr>
          <w:szCs w:val="28"/>
        </w:rPr>
        <w:t>х организаций на 201</w:t>
      </w:r>
      <w:r w:rsidR="008A6AD5">
        <w:rPr>
          <w:szCs w:val="28"/>
        </w:rPr>
        <w:t>9</w:t>
      </w:r>
      <w:r w:rsidR="00CC2666">
        <w:rPr>
          <w:szCs w:val="28"/>
        </w:rPr>
        <w:t xml:space="preserve"> год, </w:t>
      </w:r>
      <w:r w:rsidRPr="008B17A6">
        <w:rPr>
          <w:szCs w:val="28"/>
        </w:rPr>
        <w:t>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C93E45">
        <w:rPr>
          <w:szCs w:val="28"/>
        </w:rPr>
        <w:t>Внести</w:t>
      </w:r>
      <w:r w:rsidR="00C93E45" w:rsidRPr="00C93E45">
        <w:rPr>
          <w:szCs w:val="28"/>
        </w:rPr>
        <w:t xml:space="preserve"> </w:t>
      </w:r>
      <w:r w:rsidR="00D4385D">
        <w:rPr>
          <w:szCs w:val="28"/>
        </w:rPr>
        <w:t>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>.12.2014</w:t>
      </w:r>
      <w:r w:rsidR="004C74FA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№</w:t>
      </w:r>
      <w:r w:rsidR="006E6557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3-</w:t>
      </w:r>
      <w:r w:rsidR="00DB327A">
        <w:rPr>
          <w:bCs/>
          <w:szCs w:val="28"/>
        </w:rPr>
        <w:t>1</w:t>
      </w:r>
      <w:r w:rsidR="009A775A">
        <w:rPr>
          <w:bCs/>
          <w:szCs w:val="28"/>
        </w:rPr>
        <w:t>1</w:t>
      </w:r>
      <w:r w:rsidR="00D4385D" w:rsidRPr="00D4385D">
        <w:rPr>
          <w:bCs/>
          <w:szCs w:val="28"/>
        </w:rPr>
        <w:t xml:space="preserve">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электрической энергии для взаиморасчетов между сетевыми организациями</w:t>
      </w:r>
      <w:r w:rsidR="00EC1EE3">
        <w:rPr>
          <w:bCs/>
          <w:szCs w:val="28"/>
        </w:rPr>
        <w:t xml:space="preserve"> на территории Республики Татарстан </w:t>
      </w:r>
      <w:r w:rsidR="00EC1EE3" w:rsidRPr="00815A44">
        <w:rPr>
          <w:bCs/>
          <w:szCs w:val="28"/>
        </w:rPr>
        <w:t>на 2015-201</w:t>
      </w:r>
      <w:r w:rsidR="00EC1EE3" w:rsidRPr="009A775A">
        <w:rPr>
          <w:bCs/>
          <w:szCs w:val="28"/>
        </w:rPr>
        <w:t>9</w:t>
      </w:r>
      <w:r w:rsidR="00EC1EE3" w:rsidRPr="00815A44">
        <w:rPr>
          <w:bCs/>
          <w:szCs w:val="28"/>
        </w:rPr>
        <w:t xml:space="preserve"> годы</w:t>
      </w:r>
      <w:r w:rsidR="00D4385D" w:rsidRPr="00D4385D">
        <w:rPr>
          <w:bCs/>
          <w:szCs w:val="28"/>
        </w:rPr>
        <w:t>»</w:t>
      </w:r>
      <w:r w:rsidR="00D4385D">
        <w:rPr>
          <w:bCs/>
          <w:szCs w:val="28"/>
        </w:rPr>
        <w:t xml:space="preserve"> </w:t>
      </w:r>
      <w:r w:rsidR="000417D5" w:rsidRPr="000417D5">
        <w:rPr>
          <w:bCs/>
          <w:szCs w:val="28"/>
        </w:rPr>
        <w:t>(</w:t>
      </w:r>
      <w:r w:rsidR="000417D5">
        <w:rPr>
          <w:bCs/>
          <w:szCs w:val="28"/>
        </w:rPr>
        <w:t>с изменениями, внесенными постановлениями Государственного комитета Республики Татарстан по тарифам от 08.06.2015 № 3-6/э, от 10.12.2015 № 3-12/э</w:t>
      </w:r>
      <w:r w:rsidR="0054549D">
        <w:rPr>
          <w:bCs/>
          <w:szCs w:val="28"/>
        </w:rPr>
        <w:t>, от 08.12.2016 № 3-6/э</w:t>
      </w:r>
      <w:r w:rsidR="00A64116">
        <w:rPr>
          <w:bCs/>
          <w:szCs w:val="28"/>
        </w:rPr>
        <w:t xml:space="preserve">, </w:t>
      </w:r>
      <w:r w:rsidR="008A6AD5">
        <w:rPr>
          <w:bCs/>
          <w:szCs w:val="28"/>
        </w:rPr>
        <w:t>от 18.06.2018 № 3-1</w:t>
      </w:r>
      <w:proofErr w:type="gramEnd"/>
      <w:r w:rsidR="008A6AD5">
        <w:rPr>
          <w:bCs/>
          <w:szCs w:val="28"/>
        </w:rPr>
        <w:t>/э</w:t>
      </w:r>
      <w:r w:rsidR="00A506C0">
        <w:rPr>
          <w:bCs/>
          <w:szCs w:val="28"/>
        </w:rPr>
        <w:t>)</w:t>
      </w:r>
      <w:r w:rsidR="000417D5" w:rsidRPr="000417D5">
        <w:rPr>
          <w:bCs/>
          <w:szCs w:val="28"/>
        </w:rPr>
        <w:t xml:space="preserve"> </w:t>
      </w:r>
      <w:r w:rsidR="00D4385D">
        <w:rPr>
          <w:bCs/>
          <w:szCs w:val="28"/>
        </w:rPr>
        <w:t>следующие</w:t>
      </w:r>
      <w:r w:rsidR="00D4385D"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1 изложить в новой редакции </w:t>
      </w:r>
      <w:r w:rsidR="004A3B01">
        <w:rPr>
          <w:szCs w:val="28"/>
        </w:rPr>
        <w:t>(прилагается)</w:t>
      </w:r>
      <w:r>
        <w:rPr>
          <w:szCs w:val="28"/>
        </w:rPr>
        <w:t>;</w:t>
      </w:r>
    </w:p>
    <w:p w:rsidR="00D366EE" w:rsidRDefault="00D4385D" w:rsidP="00D26BA0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3 изложить в новой редакции </w:t>
      </w:r>
      <w:r w:rsidR="004A3B01">
        <w:rPr>
          <w:szCs w:val="28"/>
        </w:rPr>
        <w:t>(прилагается);</w:t>
      </w:r>
    </w:p>
    <w:p w:rsidR="00C054B1" w:rsidRPr="00935947" w:rsidRDefault="00C054B1" w:rsidP="00D26BA0">
      <w:pPr>
        <w:ind w:firstLine="709"/>
        <w:jc w:val="both"/>
        <w:rPr>
          <w:szCs w:val="28"/>
        </w:rPr>
      </w:pPr>
      <w:r>
        <w:rPr>
          <w:szCs w:val="28"/>
        </w:rPr>
        <w:t xml:space="preserve">приложение 4 изложить в новой редакции </w:t>
      </w:r>
      <w:r w:rsidR="004A3B01">
        <w:rPr>
          <w:szCs w:val="28"/>
        </w:rPr>
        <w:t>(прилагается);</w:t>
      </w:r>
    </w:p>
    <w:p w:rsidR="00B962CE" w:rsidRDefault="00D4385D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истечении </w:t>
      </w:r>
      <w:r w:rsidR="00F61465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06B92" w:rsidRDefault="00206B92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247DB" w:rsidRPr="0098517D" w:rsidRDefault="006247DB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376B12" w:rsidP="00A51840">
      <w:pPr>
        <w:rPr>
          <w:szCs w:val="28"/>
        </w:rPr>
      </w:pPr>
      <w:r>
        <w:rPr>
          <w:szCs w:val="28"/>
        </w:rPr>
        <w:t>П</w:t>
      </w:r>
      <w:r w:rsidR="00A51840">
        <w:rPr>
          <w:szCs w:val="28"/>
        </w:rPr>
        <w:t>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</w:t>
      </w:r>
      <w:r w:rsidR="008A6AD5">
        <w:rPr>
          <w:szCs w:val="28"/>
        </w:rPr>
        <w:t xml:space="preserve">       </w:t>
      </w:r>
      <w:proofErr w:type="spellStart"/>
      <w:r w:rsidR="008A6AD5">
        <w:rPr>
          <w:szCs w:val="28"/>
        </w:rPr>
        <w:t>А</w:t>
      </w:r>
      <w:r>
        <w:rPr>
          <w:szCs w:val="28"/>
        </w:rPr>
        <w:t>.</w:t>
      </w:r>
      <w:r w:rsidR="008A6AD5">
        <w:rPr>
          <w:szCs w:val="28"/>
        </w:rPr>
        <w:t>С</w:t>
      </w:r>
      <w:r>
        <w:rPr>
          <w:szCs w:val="28"/>
        </w:rPr>
        <w:t>.</w:t>
      </w:r>
      <w:r w:rsidR="008A6AD5">
        <w:rPr>
          <w:szCs w:val="28"/>
        </w:rPr>
        <w:t>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CC2666" w:rsidRDefault="00CC266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7703B6">
          <w:pgSz w:w="11906" w:h="16838"/>
          <w:pgMar w:top="851" w:right="567" w:bottom="425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Pr="00177FFA" w:rsidRDefault="00F6646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D20A2C">
        <w:rPr>
          <w:color w:val="000000"/>
          <w:sz w:val="24"/>
          <w:szCs w:val="24"/>
          <w:u w:val="single"/>
        </w:rPr>
        <w:t>10.12.</w:t>
      </w:r>
      <w:r w:rsidR="00A51840" w:rsidRPr="00D20A2C">
        <w:rPr>
          <w:color w:val="000000"/>
          <w:sz w:val="24"/>
          <w:szCs w:val="24"/>
          <w:u w:val="single"/>
        </w:rPr>
        <w:t>201</w:t>
      </w:r>
      <w:r w:rsidRPr="00D20A2C">
        <w:rPr>
          <w:color w:val="000000"/>
          <w:sz w:val="24"/>
          <w:szCs w:val="24"/>
          <w:u w:val="single"/>
        </w:rPr>
        <w:t>4</w:t>
      </w:r>
      <w:r w:rsidR="0054549D" w:rsidRPr="00F66460">
        <w:rPr>
          <w:color w:val="000000"/>
          <w:sz w:val="24"/>
          <w:szCs w:val="24"/>
        </w:rPr>
        <w:t xml:space="preserve"> </w:t>
      </w:r>
      <w:r w:rsidR="006271A2" w:rsidRPr="00F66460">
        <w:rPr>
          <w:color w:val="000000"/>
          <w:sz w:val="24"/>
          <w:szCs w:val="24"/>
        </w:rPr>
        <w:t xml:space="preserve"> </w:t>
      </w:r>
      <w:r w:rsidR="00A51840" w:rsidRPr="00F66460">
        <w:rPr>
          <w:color w:val="000000"/>
          <w:sz w:val="24"/>
          <w:szCs w:val="24"/>
        </w:rPr>
        <w:t>г.</w:t>
      </w:r>
      <w:r w:rsidR="00A51840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Pr="00D20A2C">
        <w:rPr>
          <w:color w:val="000000"/>
          <w:sz w:val="24"/>
          <w:szCs w:val="24"/>
          <w:u w:val="single"/>
        </w:rPr>
        <w:t>3-11/э</w:t>
      </w:r>
    </w:p>
    <w:p w:rsidR="00D20A2C" w:rsidRDefault="00E260EF" w:rsidP="00D20A2C">
      <w:pPr>
        <w:tabs>
          <w:tab w:val="left" w:pos="5745"/>
        </w:tabs>
        <w:ind w:left="10915"/>
        <w:rPr>
          <w:szCs w:val="28"/>
        </w:rPr>
      </w:pPr>
      <w:proofErr w:type="gramStart"/>
      <w:r>
        <w:rPr>
          <w:color w:val="000000"/>
          <w:sz w:val="24"/>
          <w:szCs w:val="24"/>
        </w:rPr>
        <w:t xml:space="preserve">(в редакции постановления </w:t>
      </w:r>
      <w:r w:rsidR="00D20A2C">
        <w:rPr>
          <w:color w:val="000000"/>
          <w:sz w:val="24"/>
          <w:szCs w:val="24"/>
        </w:rPr>
        <w:t>Государственного комитета</w:t>
      </w:r>
      <w:proofErr w:type="gramEnd"/>
    </w:p>
    <w:p w:rsidR="00973B99" w:rsidRDefault="00D20A2C" w:rsidP="00D20A2C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  <w:r w:rsidR="00E260EF">
        <w:rPr>
          <w:color w:val="000000"/>
          <w:sz w:val="24"/>
          <w:szCs w:val="24"/>
        </w:rPr>
        <w:t xml:space="preserve"> от ________ №______</w:t>
      </w:r>
      <w:r>
        <w:rPr>
          <w:color w:val="000000"/>
          <w:sz w:val="24"/>
          <w:szCs w:val="24"/>
        </w:rPr>
        <w:t>)</w:t>
      </w:r>
    </w:p>
    <w:p w:rsidR="00973B99" w:rsidRPr="00973B99" w:rsidRDefault="00973B99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54549D" w:rsidRDefault="00591626" w:rsidP="000232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54549D">
        <w:rPr>
          <w:szCs w:val="28"/>
        </w:rPr>
        <w:t xml:space="preserve">обществом с ограниченной ответственностью </w:t>
      </w:r>
    </w:p>
    <w:p w:rsidR="00225010" w:rsidRDefault="0054549D" w:rsidP="000232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«КАМАЗ-Энерго» и открытым акционерным обществом «Сетевая компания»</w:t>
      </w:r>
    </w:p>
    <w:p w:rsidR="003B7317" w:rsidRDefault="00225010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с</w:t>
      </w:r>
      <w:r w:rsidR="003D5DFC">
        <w:rPr>
          <w:bCs/>
          <w:szCs w:val="28"/>
        </w:rPr>
        <w:t xml:space="preserve"> </w:t>
      </w:r>
      <w:r w:rsidR="009A271A">
        <w:rPr>
          <w:bCs/>
          <w:szCs w:val="28"/>
        </w:rPr>
        <w:t>1 января 201</w:t>
      </w:r>
      <w:r w:rsidR="00F96003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201</w:t>
      </w:r>
      <w:r w:rsidR="0054549D">
        <w:rPr>
          <w:bCs/>
          <w:szCs w:val="28"/>
        </w:rPr>
        <w:t>9</w:t>
      </w:r>
      <w:r w:rsidR="009A271A">
        <w:rPr>
          <w:bCs/>
          <w:szCs w:val="28"/>
        </w:rPr>
        <w:t xml:space="preserve"> года</w:t>
      </w:r>
      <w:r w:rsidR="006247DB">
        <w:rPr>
          <w:bCs/>
          <w:szCs w:val="28"/>
        </w:rPr>
        <w:t xml:space="preserve"> с календарной разбивкой</w:t>
      </w:r>
    </w:p>
    <w:p w:rsidR="0002320F" w:rsidRPr="003B7317" w:rsidRDefault="0002320F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63"/>
        <w:gridCol w:w="709"/>
        <w:gridCol w:w="1701"/>
        <w:gridCol w:w="1701"/>
        <w:gridCol w:w="1842"/>
        <w:gridCol w:w="1701"/>
        <w:gridCol w:w="1985"/>
        <w:gridCol w:w="1843"/>
      </w:tblGrid>
      <w:tr w:rsidR="00BB2807" w:rsidRPr="008B13B5" w:rsidTr="002B3F20">
        <w:trPr>
          <w:trHeight w:val="19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F61465">
              <w:rPr>
                <w:color w:val="000000"/>
                <w:sz w:val="22"/>
                <w:szCs w:val="22"/>
              </w:rPr>
              <w:t>сетевой</w:t>
            </w:r>
            <w:r w:rsidR="00E85C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F61465">
              <w:rPr>
                <w:color w:val="000000"/>
                <w:sz w:val="22"/>
                <w:szCs w:val="22"/>
              </w:rPr>
              <w:t>организации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BB2807" w:rsidRPr="008B13B5" w:rsidRDefault="00973B99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 </w:t>
            </w:r>
            <w:r w:rsidR="00BB2807">
              <w:rPr>
                <w:bCs/>
                <w:color w:val="000000"/>
                <w:sz w:val="22"/>
                <w:szCs w:val="22"/>
              </w:rPr>
              <w:t>1 января по 30 июня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973B99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 </w:t>
            </w:r>
            <w:r w:rsidR="00BB2807">
              <w:rPr>
                <w:bCs/>
                <w:color w:val="000000"/>
                <w:sz w:val="22"/>
                <w:szCs w:val="22"/>
              </w:rPr>
              <w:t>1 июля по 31 декабря</w:t>
            </w:r>
          </w:p>
        </w:tc>
      </w:tr>
      <w:tr w:rsidR="00BB2807" w:rsidRPr="008B13B5" w:rsidTr="002B3F20">
        <w:trPr>
          <w:trHeight w:val="34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2B3F20">
        <w:trPr>
          <w:trHeight w:val="1120"/>
        </w:trPr>
        <w:tc>
          <w:tcPr>
            <w:tcW w:w="58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2B3F20">
        <w:trPr>
          <w:trHeight w:val="615"/>
        </w:trPr>
        <w:tc>
          <w:tcPr>
            <w:tcW w:w="58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CC2666" w:rsidRPr="002B3F20" w:rsidTr="00CC2666">
        <w:trPr>
          <w:trHeight w:val="359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CC2666" w:rsidRPr="008B13B5" w:rsidRDefault="006247DB" w:rsidP="006247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CC2666" w:rsidRPr="00CC2666" w:rsidRDefault="00CC2666" w:rsidP="00CC2666">
            <w:pPr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Общество с ограниченной ответственностью «КАМАЗ-Энерго»  - открытое акционерное общество «Сетевая компания»</w:t>
            </w:r>
          </w:p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33 705,11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0,10124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33 705,11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0,09990</w:t>
            </w:r>
          </w:p>
        </w:tc>
      </w:tr>
      <w:tr w:rsidR="00CC2666" w:rsidRPr="002B3F20" w:rsidTr="00CC2666">
        <w:trPr>
          <w:trHeight w:val="378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B13B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CC2666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35 678,83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22,72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0,11280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35 678,83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CC2666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22,17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CC2666" w:rsidRDefault="00CC2666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0,11225</w:t>
            </w:r>
          </w:p>
        </w:tc>
      </w:tr>
      <w:tr w:rsidR="00CC2666" w:rsidRPr="002B3F20" w:rsidTr="00CC2666">
        <w:trPr>
          <w:trHeight w:val="417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B13B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0E733F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0E733F">
              <w:rPr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65A70" w:rsidRDefault="00C65A70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42 949,98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0E733F" w:rsidRDefault="000E733F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0E733F">
              <w:rPr>
                <w:sz w:val="24"/>
                <w:szCs w:val="24"/>
              </w:rPr>
              <w:t>22,23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0E733F" w:rsidRDefault="00CC2666" w:rsidP="00C65A70">
            <w:pPr>
              <w:jc w:val="center"/>
              <w:rPr>
                <w:rFonts w:eastAsia="Calibri"/>
                <w:sz w:val="24"/>
                <w:szCs w:val="24"/>
              </w:rPr>
            </w:pPr>
            <w:r w:rsidRPr="000E733F">
              <w:rPr>
                <w:sz w:val="24"/>
                <w:szCs w:val="24"/>
              </w:rPr>
              <w:t>0,</w:t>
            </w:r>
            <w:r w:rsidR="00C65A70">
              <w:rPr>
                <w:sz w:val="24"/>
                <w:szCs w:val="24"/>
              </w:rPr>
              <w:t>13065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0E733F" w:rsidRDefault="00C65A70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42 949,98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0E733F" w:rsidRDefault="000E733F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0E733F">
              <w:rPr>
                <w:sz w:val="24"/>
                <w:szCs w:val="24"/>
              </w:rPr>
              <w:t>23,79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0E733F" w:rsidRDefault="00CC2666" w:rsidP="00C65A70">
            <w:pPr>
              <w:jc w:val="center"/>
              <w:rPr>
                <w:rFonts w:eastAsia="Calibri"/>
                <w:sz w:val="24"/>
                <w:szCs w:val="24"/>
              </w:rPr>
            </w:pPr>
            <w:r w:rsidRPr="000E733F">
              <w:rPr>
                <w:sz w:val="24"/>
                <w:szCs w:val="24"/>
              </w:rPr>
              <w:t>0,1</w:t>
            </w:r>
            <w:r w:rsidR="00C65A70">
              <w:rPr>
                <w:sz w:val="24"/>
                <w:szCs w:val="24"/>
              </w:rPr>
              <w:t>3221</w:t>
            </w:r>
          </w:p>
        </w:tc>
      </w:tr>
      <w:tr w:rsidR="00CC2666" w:rsidRPr="002B3F20" w:rsidTr="00CC2666">
        <w:trPr>
          <w:trHeight w:val="417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B13B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0E733F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0E733F">
              <w:rPr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345494" w:rsidRDefault="0095125A" w:rsidP="003454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345494">
              <w:rPr>
                <w:sz w:val="24"/>
                <w:szCs w:val="24"/>
                <w:lang w:val="en-US"/>
              </w:rPr>
              <w:t> 353</w:t>
            </w:r>
            <w:r w:rsidR="00345494">
              <w:rPr>
                <w:sz w:val="24"/>
                <w:szCs w:val="24"/>
              </w:rPr>
              <w:t>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8205D4" w:rsidRDefault="00471D3E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205D4">
              <w:rPr>
                <w:sz w:val="24"/>
                <w:szCs w:val="24"/>
              </w:rPr>
              <w:t>26,09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8205D4" w:rsidRDefault="00CC2666" w:rsidP="00345494">
            <w:pPr>
              <w:jc w:val="center"/>
              <w:rPr>
                <w:rFonts w:eastAsia="Calibri"/>
                <w:sz w:val="24"/>
                <w:szCs w:val="24"/>
              </w:rPr>
            </w:pPr>
            <w:r w:rsidRPr="008205D4">
              <w:rPr>
                <w:sz w:val="24"/>
                <w:szCs w:val="24"/>
              </w:rPr>
              <w:t>0,1</w:t>
            </w:r>
            <w:r w:rsidR="00471D3E" w:rsidRPr="008205D4">
              <w:rPr>
                <w:sz w:val="24"/>
                <w:szCs w:val="24"/>
              </w:rPr>
              <w:t>4</w:t>
            </w:r>
            <w:r w:rsidR="00345494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CF4E3E" w:rsidRDefault="0095125A" w:rsidP="0034549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  <w:r w:rsidR="00345494">
              <w:rPr>
                <w:sz w:val="24"/>
                <w:szCs w:val="24"/>
                <w:lang w:val="en-US"/>
              </w:rPr>
              <w:t> </w:t>
            </w:r>
            <w:r w:rsidR="00345494">
              <w:rPr>
                <w:sz w:val="24"/>
                <w:szCs w:val="24"/>
              </w:rPr>
              <w:t>353,17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8205D4" w:rsidRDefault="00471D3E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8205D4">
              <w:rPr>
                <w:sz w:val="24"/>
                <w:szCs w:val="24"/>
              </w:rPr>
              <w:t>27,13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8205D4" w:rsidRDefault="00CC2666" w:rsidP="00345494">
            <w:pPr>
              <w:jc w:val="center"/>
              <w:rPr>
                <w:rFonts w:eastAsia="Calibri"/>
                <w:sz w:val="24"/>
                <w:szCs w:val="24"/>
              </w:rPr>
            </w:pPr>
            <w:r w:rsidRPr="008205D4">
              <w:rPr>
                <w:sz w:val="24"/>
                <w:szCs w:val="24"/>
              </w:rPr>
              <w:t>0,1</w:t>
            </w:r>
            <w:r w:rsidR="00471D3E" w:rsidRPr="008205D4">
              <w:rPr>
                <w:sz w:val="24"/>
                <w:szCs w:val="24"/>
              </w:rPr>
              <w:t>4</w:t>
            </w:r>
            <w:r w:rsidR="00345494">
              <w:rPr>
                <w:sz w:val="24"/>
                <w:szCs w:val="24"/>
              </w:rPr>
              <w:t>330</w:t>
            </w:r>
          </w:p>
        </w:tc>
      </w:tr>
      <w:tr w:rsidR="00CC2666" w:rsidRPr="002B3F20" w:rsidTr="00CC2666">
        <w:trPr>
          <w:trHeight w:val="253"/>
        </w:trPr>
        <w:tc>
          <w:tcPr>
            <w:tcW w:w="582" w:type="dxa"/>
            <w:vMerge/>
            <w:shd w:val="clear" w:color="auto" w:fill="auto"/>
            <w:vAlign w:val="center"/>
          </w:tcPr>
          <w:p w:rsidR="00CC2666" w:rsidRPr="008B13B5" w:rsidRDefault="00CC2666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CC2666" w:rsidRPr="00CC2666" w:rsidRDefault="00CC2666" w:rsidP="00CC26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C2666" w:rsidRPr="000E733F" w:rsidRDefault="00CC2666" w:rsidP="00CC2666">
            <w:pPr>
              <w:jc w:val="center"/>
              <w:rPr>
                <w:sz w:val="24"/>
                <w:szCs w:val="24"/>
                <w:lang w:eastAsia="en-US"/>
              </w:rPr>
            </w:pPr>
            <w:r w:rsidRPr="000E733F">
              <w:rPr>
                <w:sz w:val="24"/>
                <w:szCs w:val="24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775B6E" w:rsidRDefault="00E45B00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B6E">
              <w:rPr>
                <w:sz w:val="24"/>
                <w:szCs w:val="24"/>
              </w:rPr>
              <w:t>51 095,91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775B6E" w:rsidRDefault="00E45B00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B6E">
              <w:rPr>
                <w:sz w:val="24"/>
                <w:szCs w:val="24"/>
              </w:rPr>
              <w:t>27,22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2666" w:rsidRPr="00775B6E" w:rsidRDefault="00CC2666" w:rsidP="00E45B00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B6E">
              <w:rPr>
                <w:sz w:val="24"/>
                <w:szCs w:val="24"/>
              </w:rPr>
              <w:t>0,1</w:t>
            </w:r>
            <w:r w:rsidR="00E45B00" w:rsidRPr="00775B6E">
              <w:rPr>
                <w:sz w:val="24"/>
                <w:szCs w:val="24"/>
              </w:rPr>
              <w:t>2959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2666" w:rsidRPr="00775B6E" w:rsidRDefault="00E45B00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B6E">
              <w:rPr>
                <w:sz w:val="24"/>
                <w:szCs w:val="24"/>
              </w:rPr>
              <w:t>51 095,91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CC2666" w:rsidRPr="00775B6E" w:rsidRDefault="00E45B00" w:rsidP="00CC2666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B6E">
              <w:rPr>
                <w:sz w:val="24"/>
                <w:szCs w:val="24"/>
              </w:rPr>
              <w:t>29,10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C2666" w:rsidRPr="00775B6E" w:rsidRDefault="00CC2666" w:rsidP="002A5C8A">
            <w:pPr>
              <w:jc w:val="center"/>
              <w:rPr>
                <w:rFonts w:eastAsia="Calibri"/>
                <w:sz w:val="24"/>
                <w:szCs w:val="24"/>
              </w:rPr>
            </w:pPr>
            <w:r w:rsidRPr="00775B6E">
              <w:rPr>
                <w:sz w:val="24"/>
                <w:szCs w:val="24"/>
              </w:rPr>
              <w:t>0,</w:t>
            </w:r>
            <w:r w:rsidR="002A5C8A" w:rsidRPr="00775B6E">
              <w:rPr>
                <w:sz w:val="24"/>
                <w:szCs w:val="24"/>
              </w:rPr>
              <w:t>13147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F96003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="00F61465">
        <w:rPr>
          <w:sz w:val="24"/>
          <w:szCs w:val="24"/>
        </w:rPr>
        <w:t xml:space="preserve"> к </w:t>
      </w:r>
      <w:r w:rsidRPr="00A83266">
        <w:rPr>
          <w:sz w:val="24"/>
          <w:szCs w:val="24"/>
        </w:rPr>
        <w:t>постановлению</w:t>
      </w:r>
    </w:p>
    <w:p w:rsidR="00A4370B" w:rsidRPr="00A83266" w:rsidRDefault="00A4370B" w:rsidP="00F96003">
      <w:pPr>
        <w:ind w:left="5670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F96003">
      <w:pPr>
        <w:ind w:left="5670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Default="00F96003" w:rsidP="00F96003">
      <w:pPr>
        <w:ind w:left="56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D20A2C">
        <w:rPr>
          <w:color w:val="000000"/>
          <w:sz w:val="24"/>
          <w:szCs w:val="24"/>
          <w:u w:val="single"/>
        </w:rPr>
        <w:t>10.12.2014</w:t>
      </w:r>
      <w:r w:rsidRPr="00F66460">
        <w:rPr>
          <w:color w:val="000000"/>
          <w:sz w:val="24"/>
          <w:szCs w:val="24"/>
        </w:rPr>
        <w:t xml:space="preserve">  г.</w:t>
      </w:r>
      <w:r>
        <w:rPr>
          <w:color w:val="000000"/>
          <w:sz w:val="24"/>
          <w:szCs w:val="24"/>
        </w:rPr>
        <w:t xml:space="preserve"> № </w:t>
      </w:r>
      <w:r w:rsidRPr="00D20A2C">
        <w:rPr>
          <w:color w:val="000000"/>
          <w:sz w:val="24"/>
          <w:szCs w:val="24"/>
          <w:u w:val="single"/>
        </w:rPr>
        <w:t>3-11/э</w:t>
      </w:r>
    </w:p>
    <w:p w:rsidR="00973B99" w:rsidRDefault="00D20A2C" w:rsidP="00F96003">
      <w:pPr>
        <w:ind w:left="5670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(в редакции постановления Государственного комитета</w:t>
      </w:r>
      <w:proofErr w:type="gramEnd"/>
    </w:p>
    <w:p w:rsidR="00973B99" w:rsidRPr="00A83266" w:rsidRDefault="00D20A2C" w:rsidP="00D20A2C">
      <w:pPr>
        <w:ind w:left="567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Республики Татарстан по тарифам </w:t>
      </w:r>
      <w:r>
        <w:rPr>
          <w:color w:val="000000"/>
          <w:sz w:val="24"/>
          <w:szCs w:val="24"/>
        </w:rPr>
        <w:br/>
        <w:t>от ________ №______)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6247D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6247DB">
        <w:rPr>
          <w:szCs w:val="28"/>
        </w:rPr>
        <w:t xml:space="preserve">общества с ограниченной ответственностью «КАМАЗ-Энерго»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47DB">
        <w:rPr>
          <w:szCs w:val="28"/>
        </w:rPr>
        <w:t>2015 – 2019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6247DB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5E280F" w:rsidRDefault="005E280F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5E280F" w:rsidRDefault="005E280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5E280F" w:rsidRDefault="005E280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4370B" w:rsidRPr="00A83266" w:rsidRDefault="005E280F" w:rsidP="005E280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A4370B"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6247D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CC2666" w:rsidRPr="00A83266" w:rsidTr="00620EC4">
        <w:tc>
          <w:tcPr>
            <w:tcW w:w="534" w:type="dxa"/>
            <w:vMerge w:val="restart"/>
            <w:vAlign w:val="center"/>
          </w:tcPr>
          <w:p w:rsidR="00CC2666" w:rsidRPr="00A83266" w:rsidRDefault="006247DB" w:rsidP="00620EC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 xml:space="preserve">Общество с ограниченной ответственностью «КАМАЗ-Энерго» </w:t>
            </w:r>
          </w:p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2015</w:t>
            </w:r>
          </w:p>
        </w:tc>
        <w:tc>
          <w:tcPr>
            <w:tcW w:w="2410" w:type="dxa"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  <w:r w:rsidRPr="00CC2666">
              <w:rPr>
                <w:sz w:val="24"/>
                <w:szCs w:val="24"/>
              </w:rPr>
              <w:t>138 054,79</w:t>
            </w:r>
          </w:p>
        </w:tc>
      </w:tr>
      <w:tr w:rsidR="00CC2666" w:rsidRPr="00A83266" w:rsidTr="00620EC4">
        <w:tc>
          <w:tcPr>
            <w:tcW w:w="534" w:type="dxa"/>
            <w:vMerge/>
            <w:vAlign w:val="center"/>
          </w:tcPr>
          <w:p w:rsidR="00CC2666" w:rsidRPr="00A83266" w:rsidRDefault="00CC2666" w:rsidP="00620EC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  <w:lang w:eastAsia="en-US"/>
              </w:rPr>
            </w:pPr>
            <w:r w:rsidRPr="00CC2666">
              <w:rPr>
                <w:sz w:val="24"/>
                <w:szCs w:val="24"/>
              </w:rPr>
              <w:t>2016</w:t>
            </w:r>
          </w:p>
        </w:tc>
        <w:tc>
          <w:tcPr>
            <w:tcW w:w="2410" w:type="dxa"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C2666">
              <w:rPr>
                <w:sz w:val="24"/>
                <w:szCs w:val="24"/>
              </w:rPr>
              <w:t>143 848,48</w:t>
            </w:r>
          </w:p>
        </w:tc>
      </w:tr>
      <w:tr w:rsidR="00CC2666" w:rsidRPr="00A83266" w:rsidTr="00620EC4">
        <w:tc>
          <w:tcPr>
            <w:tcW w:w="534" w:type="dxa"/>
            <w:vMerge/>
            <w:vAlign w:val="center"/>
          </w:tcPr>
          <w:p w:rsidR="00CC2666" w:rsidRDefault="00CC2666" w:rsidP="00620EC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0E733F" w:rsidRDefault="00CC2666" w:rsidP="00620EC4">
            <w:pPr>
              <w:jc w:val="center"/>
              <w:rPr>
                <w:sz w:val="24"/>
                <w:szCs w:val="24"/>
                <w:lang w:eastAsia="en-US"/>
              </w:rPr>
            </w:pPr>
            <w:r w:rsidRPr="000E733F"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vAlign w:val="center"/>
          </w:tcPr>
          <w:p w:rsidR="00CC2666" w:rsidRPr="000E733F" w:rsidRDefault="00C65A70" w:rsidP="00620E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148 432,56</w:t>
            </w:r>
          </w:p>
        </w:tc>
      </w:tr>
      <w:tr w:rsidR="00CC2666" w:rsidRPr="00A83266" w:rsidTr="00620EC4">
        <w:tc>
          <w:tcPr>
            <w:tcW w:w="534" w:type="dxa"/>
            <w:vMerge/>
            <w:vAlign w:val="center"/>
          </w:tcPr>
          <w:p w:rsidR="00CC2666" w:rsidRDefault="00CC2666" w:rsidP="00620EC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0E733F" w:rsidRDefault="00CC2666" w:rsidP="00620EC4">
            <w:pPr>
              <w:jc w:val="center"/>
              <w:rPr>
                <w:sz w:val="24"/>
                <w:szCs w:val="24"/>
                <w:lang w:eastAsia="en-US"/>
              </w:rPr>
            </w:pPr>
            <w:r w:rsidRPr="000E733F">
              <w:rPr>
                <w:sz w:val="24"/>
                <w:szCs w:val="24"/>
              </w:rPr>
              <w:t>2018</w:t>
            </w:r>
          </w:p>
        </w:tc>
        <w:tc>
          <w:tcPr>
            <w:tcW w:w="2410" w:type="dxa"/>
            <w:vAlign w:val="center"/>
          </w:tcPr>
          <w:p w:rsidR="00CC2666" w:rsidRPr="000E733F" w:rsidRDefault="00172B98" w:rsidP="00345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187</w:t>
            </w:r>
            <w:r w:rsidR="00345494">
              <w:rPr>
                <w:sz w:val="24"/>
                <w:szCs w:val="24"/>
              </w:rPr>
              <w:t> 455,19</w:t>
            </w:r>
          </w:p>
        </w:tc>
      </w:tr>
      <w:tr w:rsidR="00CC2666" w:rsidRPr="00A83266" w:rsidTr="00620EC4">
        <w:tc>
          <w:tcPr>
            <w:tcW w:w="534" w:type="dxa"/>
            <w:vMerge/>
            <w:vAlign w:val="center"/>
          </w:tcPr>
          <w:p w:rsidR="00CC2666" w:rsidRDefault="00CC2666" w:rsidP="00620EC4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C2666" w:rsidRPr="00CC2666" w:rsidRDefault="00CC2666" w:rsidP="0062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C2666" w:rsidRPr="000E733F" w:rsidRDefault="00CC2666" w:rsidP="00620EC4">
            <w:pPr>
              <w:jc w:val="center"/>
              <w:rPr>
                <w:sz w:val="24"/>
                <w:szCs w:val="24"/>
                <w:lang w:eastAsia="en-US"/>
              </w:rPr>
            </w:pPr>
            <w:r w:rsidRPr="000E733F">
              <w:rPr>
                <w:sz w:val="24"/>
                <w:szCs w:val="24"/>
              </w:rPr>
              <w:t>2019</w:t>
            </w:r>
          </w:p>
        </w:tc>
        <w:tc>
          <w:tcPr>
            <w:tcW w:w="2410" w:type="dxa"/>
            <w:vAlign w:val="center"/>
          </w:tcPr>
          <w:p w:rsidR="00CC2666" w:rsidRPr="00C83975" w:rsidRDefault="006A77C7" w:rsidP="00620EC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27 674,57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  <w:sectPr w:rsidR="00C054B1" w:rsidSect="009928E9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63423E" w:rsidRPr="00A83266" w:rsidRDefault="0063423E" w:rsidP="0063423E">
      <w:pPr>
        <w:ind w:left="1077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3 к </w:t>
      </w:r>
      <w:r w:rsidRPr="00A83266">
        <w:rPr>
          <w:sz w:val="24"/>
          <w:szCs w:val="24"/>
        </w:rPr>
        <w:t>постановлению</w:t>
      </w:r>
    </w:p>
    <w:p w:rsidR="0063423E" w:rsidRPr="00A83266" w:rsidRDefault="0063423E" w:rsidP="0063423E">
      <w:pPr>
        <w:ind w:left="10773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63423E" w:rsidRPr="00A83266" w:rsidRDefault="0063423E" w:rsidP="0063423E">
      <w:pPr>
        <w:ind w:left="10773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63423E" w:rsidRDefault="0063423E" w:rsidP="0063423E">
      <w:pPr>
        <w:ind w:left="1077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Pr="00D20A2C">
        <w:rPr>
          <w:color w:val="000000"/>
          <w:sz w:val="24"/>
          <w:szCs w:val="24"/>
          <w:u w:val="single"/>
        </w:rPr>
        <w:t>10.12.2014</w:t>
      </w:r>
      <w:r w:rsidRPr="00F66460">
        <w:rPr>
          <w:color w:val="000000"/>
          <w:sz w:val="24"/>
          <w:szCs w:val="24"/>
        </w:rPr>
        <w:t xml:space="preserve">  г.</w:t>
      </w:r>
      <w:r>
        <w:rPr>
          <w:color w:val="000000"/>
          <w:sz w:val="24"/>
          <w:szCs w:val="24"/>
        </w:rPr>
        <w:t xml:space="preserve"> № </w:t>
      </w:r>
      <w:r w:rsidRPr="00D20A2C">
        <w:rPr>
          <w:color w:val="000000"/>
          <w:sz w:val="24"/>
          <w:szCs w:val="24"/>
          <w:u w:val="single"/>
        </w:rPr>
        <w:t>3-11/э</w:t>
      </w:r>
    </w:p>
    <w:p w:rsidR="0063423E" w:rsidRDefault="0063423E" w:rsidP="0063423E">
      <w:pPr>
        <w:ind w:left="10773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(в редакции постановления Государственного комитета</w:t>
      </w:r>
      <w:proofErr w:type="gramEnd"/>
    </w:p>
    <w:p w:rsidR="00C054B1" w:rsidRDefault="0063423E" w:rsidP="0063423E">
      <w:pPr>
        <w:ind w:left="1077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Республики Татарстан по тарифам </w:t>
      </w:r>
      <w:r>
        <w:rPr>
          <w:color w:val="000000"/>
          <w:sz w:val="24"/>
          <w:szCs w:val="24"/>
        </w:rPr>
        <w:br/>
        <w:t>от ________ №______)</w:t>
      </w:r>
    </w:p>
    <w:p w:rsidR="00C054B1" w:rsidRDefault="00C054B1" w:rsidP="00C054B1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C054B1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C054B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Цены (тарифы) </w:t>
      </w:r>
      <w:r w:rsidRPr="00A8418B">
        <w:rPr>
          <w:szCs w:val="28"/>
        </w:rPr>
        <w:t xml:space="preserve">на услуги по передаче электрической энергии </w:t>
      </w:r>
    </w:p>
    <w:p w:rsidR="00C054B1" w:rsidRDefault="00C054B1" w:rsidP="00C054B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>для сетевы</w:t>
      </w:r>
      <w:r>
        <w:rPr>
          <w:szCs w:val="28"/>
        </w:rPr>
        <w:t>х</w:t>
      </w:r>
      <w:r w:rsidRPr="00A8418B">
        <w:rPr>
          <w:szCs w:val="28"/>
        </w:rPr>
        <w:t xml:space="preserve"> организаци</w:t>
      </w:r>
      <w:r>
        <w:rPr>
          <w:szCs w:val="28"/>
        </w:rPr>
        <w:t>й, обслуживающих преимущественно одного потребителя</w:t>
      </w:r>
    </w:p>
    <w:p w:rsidR="00C054B1" w:rsidRDefault="002D5D1F" w:rsidP="00C054B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с</w:t>
      </w:r>
      <w:r>
        <w:rPr>
          <w:bCs/>
          <w:szCs w:val="28"/>
        </w:rPr>
        <w:t xml:space="preserve"> 1 января 201</w:t>
      </w:r>
      <w:r w:rsidR="00113E6B">
        <w:rPr>
          <w:bCs/>
          <w:szCs w:val="28"/>
        </w:rPr>
        <w:t>9</w:t>
      </w:r>
      <w:r>
        <w:rPr>
          <w:bCs/>
          <w:szCs w:val="28"/>
        </w:rPr>
        <w:t xml:space="preserve"> года по 31 декабря 2019 года</w:t>
      </w:r>
    </w:p>
    <w:p w:rsidR="00C054B1" w:rsidRDefault="00C054B1" w:rsidP="00C054B1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pPr w:leftFromText="180" w:rightFromText="180" w:vertAnchor="text" w:tblpY="1"/>
        <w:tblOverlap w:val="never"/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"/>
        <w:gridCol w:w="4675"/>
        <w:gridCol w:w="1701"/>
        <w:gridCol w:w="3373"/>
        <w:gridCol w:w="3827"/>
      </w:tblGrid>
      <w:tr w:rsidR="00C478D3" w:rsidRPr="003A582D" w:rsidTr="001447BD">
        <w:trPr>
          <w:trHeight w:val="374"/>
        </w:trPr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A582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A582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373" w:type="dxa"/>
            <w:vAlign w:val="center"/>
          </w:tcPr>
          <w:p w:rsidR="00C478D3" w:rsidRDefault="00C65DC4" w:rsidP="00144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3827" w:type="dxa"/>
            <w:vAlign w:val="center"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A582D">
              <w:rPr>
                <w:color w:val="000000"/>
                <w:sz w:val="24"/>
                <w:szCs w:val="24"/>
              </w:rPr>
              <w:t xml:space="preserve"> полугодие</w:t>
            </w:r>
          </w:p>
        </w:tc>
      </w:tr>
      <w:tr w:rsidR="00C478D3" w:rsidRPr="003A582D" w:rsidTr="001447BD">
        <w:trPr>
          <w:trHeight w:val="254"/>
        </w:trPr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5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5</w:t>
            </w:r>
          </w:p>
        </w:tc>
      </w:tr>
      <w:tr w:rsidR="001447BD" w:rsidRPr="003A582D" w:rsidTr="001447BD">
        <w:trPr>
          <w:trHeight w:val="254"/>
        </w:trPr>
        <w:tc>
          <w:tcPr>
            <w:tcW w:w="14332" w:type="dxa"/>
            <w:gridSpan w:val="6"/>
            <w:shd w:val="clear" w:color="auto" w:fill="auto"/>
            <w:vAlign w:val="center"/>
          </w:tcPr>
          <w:p w:rsidR="001447BD" w:rsidRPr="003A582D" w:rsidRDefault="001447BD" w:rsidP="00113E6B">
            <w:pPr>
              <w:rPr>
                <w:color w:val="000000"/>
                <w:sz w:val="24"/>
                <w:szCs w:val="24"/>
              </w:rPr>
            </w:pPr>
            <w:r w:rsidRPr="001447BD">
              <w:rPr>
                <w:color w:val="000000"/>
                <w:sz w:val="24"/>
                <w:szCs w:val="24"/>
              </w:rPr>
              <w:t>Тарифы для территориальной сетевой организации общество с ограниченной ответственностью «КАМАЗ-</w:t>
            </w:r>
            <w:proofErr w:type="spellStart"/>
            <w:r w:rsidRPr="001447BD">
              <w:rPr>
                <w:color w:val="000000"/>
                <w:sz w:val="24"/>
                <w:szCs w:val="24"/>
              </w:rPr>
              <w:t>Энерго</w:t>
            </w:r>
            <w:proofErr w:type="spellEnd"/>
            <w:r w:rsidRPr="001447BD">
              <w:rPr>
                <w:color w:val="000000"/>
                <w:sz w:val="24"/>
                <w:szCs w:val="24"/>
              </w:rPr>
              <w:t xml:space="preserve">», которые оплачиваются </w:t>
            </w:r>
            <w:proofErr w:type="spellStart"/>
            <w:r w:rsidRPr="001447BD">
              <w:rPr>
                <w:color w:val="000000"/>
                <w:sz w:val="24"/>
                <w:szCs w:val="24"/>
              </w:rPr>
              <w:t>монопотребителем</w:t>
            </w:r>
            <w:proofErr w:type="spellEnd"/>
            <w:r w:rsidRPr="001447BD">
              <w:rPr>
                <w:color w:val="000000"/>
                <w:sz w:val="24"/>
                <w:szCs w:val="24"/>
              </w:rPr>
              <w:t xml:space="preserve"> (группа лиц </w:t>
            </w:r>
            <w:r w:rsidR="00113E6B">
              <w:rPr>
                <w:color w:val="000000"/>
                <w:sz w:val="24"/>
                <w:szCs w:val="24"/>
              </w:rPr>
              <w:t>П</w:t>
            </w:r>
            <w:r w:rsidRPr="001447BD">
              <w:rPr>
                <w:color w:val="000000"/>
                <w:sz w:val="24"/>
                <w:szCs w:val="24"/>
              </w:rPr>
              <w:t>убличного акционерного общества «КАМАЗ» ˂*˃)</w:t>
            </w:r>
          </w:p>
        </w:tc>
      </w:tr>
      <w:tr w:rsidR="007A3629" w:rsidRPr="003A582D" w:rsidTr="007A3629">
        <w:trPr>
          <w:trHeight w:val="254"/>
        </w:trPr>
        <w:tc>
          <w:tcPr>
            <w:tcW w:w="750" w:type="dxa"/>
            <w:shd w:val="clear" w:color="auto" w:fill="auto"/>
            <w:vAlign w:val="center"/>
          </w:tcPr>
          <w:p w:rsidR="007A3629" w:rsidRPr="001447BD" w:rsidRDefault="007A3629" w:rsidP="007A36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3582" w:type="dxa"/>
            <w:gridSpan w:val="5"/>
            <w:shd w:val="clear" w:color="auto" w:fill="auto"/>
            <w:vAlign w:val="center"/>
          </w:tcPr>
          <w:p w:rsidR="007A3629" w:rsidRPr="001447BD" w:rsidRDefault="007A3629" w:rsidP="007A362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Двухставочный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C478D3" w:rsidRPr="003A582D" w:rsidTr="001447BD">
        <w:trPr>
          <w:trHeight w:val="384"/>
        </w:trPr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:rsidR="00C478D3" w:rsidRPr="003A582D" w:rsidRDefault="003279F7" w:rsidP="001447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C478D3" w:rsidRPr="003A582D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675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МВт·мес</w:t>
            </w:r>
            <w:proofErr w:type="spellEnd"/>
            <w:r w:rsidRPr="003A582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73" w:type="dxa"/>
            <w:vAlign w:val="center"/>
          </w:tcPr>
          <w:p w:rsidR="00C478D3" w:rsidRDefault="00C80027" w:rsidP="0014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51 095,91</w:t>
            </w:r>
          </w:p>
        </w:tc>
        <w:tc>
          <w:tcPr>
            <w:tcW w:w="3827" w:type="dxa"/>
            <w:vAlign w:val="center"/>
          </w:tcPr>
          <w:p w:rsidR="00C478D3" w:rsidRPr="00285398" w:rsidRDefault="00C478D3" w:rsidP="001447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51 095,91</w:t>
            </w:r>
          </w:p>
        </w:tc>
      </w:tr>
      <w:tr w:rsidR="00C478D3" w:rsidRPr="003A582D" w:rsidTr="001447BD">
        <w:trPr>
          <w:trHeight w:val="315"/>
        </w:trPr>
        <w:tc>
          <w:tcPr>
            <w:tcW w:w="756" w:type="dxa"/>
            <w:gridSpan w:val="2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675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МВт·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373" w:type="dxa"/>
            <w:vAlign w:val="center"/>
          </w:tcPr>
          <w:p w:rsidR="00C478D3" w:rsidRDefault="00C80027" w:rsidP="001447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27,22</w:t>
            </w:r>
          </w:p>
        </w:tc>
        <w:tc>
          <w:tcPr>
            <w:tcW w:w="3827" w:type="dxa"/>
            <w:vAlign w:val="center"/>
          </w:tcPr>
          <w:p w:rsidR="00C478D3" w:rsidRPr="004F24CA" w:rsidRDefault="00C80027" w:rsidP="001447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29,10</w:t>
            </w:r>
          </w:p>
        </w:tc>
      </w:tr>
      <w:tr w:rsidR="00C478D3" w:rsidRPr="003A582D" w:rsidTr="001447BD">
        <w:trPr>
          <w:trHeight w:val="541"/>
        </w:trPr>
        <w:tc>
          <w:tcPr>
            <w:tcW w:w="756" w:type="dxa"/>
            <w:gridSpan w:val="2"/>
            <w:vAlign w:val="center"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5" w:type="dxa"/>
            <w:vAlign w:val="center"/>
          </w:tcPr>
          <w:p w:rsidR="00C478D3" w:rsidRPr="003A582D" w:rsidRDefault="00C478D3" w:rsidP="001447BD">
            <w:pPr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1701" w:type="dxa"/>
            <w:vAlign w:val="center"/>
          </w:tcPr>
          <w:p w:rsidR="00C478D3" w:rsidRPr="003A582D" w:rsidRDefault="00C478D3" w:rsidP="001447BD">
            <w:pPr>
              <w:jc w:val="center"/>
              <w:rPr>
                <w:color w:val="000000"/>
                <w:sz w:val="24"/>
                <w:szCs w:val="24"/>
              </w:rPr>
            </w:pPr>
            <w:r w:rsidRPr="003A582D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3A582D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3A582D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3373" w:type="dxa"/>
            <w:vAlign w:val="center"/>
          </w:tcPr>
          <w:p w:rsidR="00C478D3" w:rsidRDefault="00C80027" w:rsidP="001447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0,12959</w:t>
            </w:r>
          </w:p>
        </w:tc>
        <w:tc>
          <w:tcPr>
            <w:tcW w:w="3827" w:type="dxa"/>
            <w:vAlign w:val="center"/>
          </w:tcPr>
          <w:p w:rsidR="00C478D3" w:rsidRPr="004F24CA" w:rsidRDefault="00C80027" w:rsidP="001447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0,13147</w:t>
            </w:r>
          </w:p>
        </w:tc>
      </w:tr>
      <w:tr w:rsidR="00C80027" w:rsidRPr="00431ABC" w:rsidTr="001447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:rsidR="00C80027" w:rsidRPr="00431ABC" w:rsidRDefault="00C80027" w:rsidP="001447BD">
            <w:pPr>
              <w:tabs>
                <w:tab w:val="left" w:pos="-142"/>
              </w:tabs>
              <w:ind w:right="-108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31ABC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gramEnd"/>
            <w:r w:rsidRPr="00431ABC">
              <w:rPr>
                <w:rFonts w:eastAsia="Calibr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376" w:type="dxa"/>
            <w:gridSpan w:val="2"/>
            <w:vMerge w:val="restart"/>
            <w:shd w:val="clear" w:color="auto" w:fill="auto"/>
            <w:vAlign w:val="center"/>
          </w:tcPr>
          <w:p w:rsidR="00C80027" w:rsidRPr="00431ABC" w:rsidRDefault="00C80027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C80027" w:rsidRPr="00431ABC" w:rsidRDefault="00C80027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в Республике Татарстан</w:t>
            </w:r>
            <w:r>
              <w:rPr>
                <w:rFonts w:eastAsia="Calibri"/>
                <w:color w:val="000000"/>
                <w:sz w:val="24"/>
                <w:szCs w:val="24"/>
              </w:rPr>
              <w:t>, обслуживающей преимущественно одного потребителя</w:t>
            </w:r>
          </w:p>
        </w:tc>
        <w:tc>
          <w:tcPr>
            <w:tcW w:w="7200" w:type="dxa"/>
            <w:gridSpan w:val="2"/>
            <w:vAlign w:val="center"/>
          </w:tcPr>
          <w:p w:rsidR="00C80027" w:rsidRPr="00431ABC" w:rsidRDefault="00C80027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НВВ сетевой организации без учета оплаты потерь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учтенная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при утверждении (расчете) цен (тарифов) на услуги по передаче электрической энергии для сетевой организации, обслуживающей преимущественно одного потребителя</w:t>
            </w:r>
          </w:p>
        </w:tc>
      </w:tr>
      <w:tr w:rsidR="00C80027" w:rsidRPr="00431ABC" w:rsidTr="001447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gridSpan w:val="2"/>
            <w:vMerge/>
            <w:shd w:val="clear" w:color="auto" w:fill="auto"/>
            <w:vAlign w:val="center"/>
          </w:tcPr>
          <w:p w:rsidR="00C80027" w:rsidRPr="00431ABC" w:rsidRDefault="00C80027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vMerge/>
            <w:shd w:val="clear" w:color="auto" w:fill="auto"/>
            <w:vAlign w:val="center"/>
          </w:tcPr>
          <w:p w:rsidR="00C80027" w:rsidRPr="00431ABC" w:rsidRDefault="00C80027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gridSpan w:val="2"/>
            <w:vAlign w:val="center"/>
          </w:tcPr>
          <w:p w:rsidR="00C80027" w:rsidRPr="00431ABC" w:rsidRDefault="00C80027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тыс. руб.</w:t>
            </w:r>
          </w:p>
        </w:tc>
      </w:tr>
      <w:tr w:rsidR="001A550D" w:rsidRPr="00431ABC" w:rsidTr="001447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756" w:type="dxa"/>
            <w:gridSpan w:val="2"/>
            <w:shd w:val="clear" w:color="auto" w:fill="auto"/>
            <w:vAlign w:val="center"/>
          </w:tcPr>
          <w:p w:rsidR="001A550D" w:rsidRPr="00431ABC" w:rsidRDefault="001A550D" w:rsidP="001447BD">
            <w:pPr>
              <w:tabs>
                <w:tab w:val="left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1ABC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6" w:type="dxa"/>
            <w:gridSpan w:val="2"/>
            <w:shd w:val="clear" w:color="auto" w:fill="auto"/>
            <w:vAlign w:val="center"/>
          </w:tcPr>
          <w:p w:rsidR="001A550D" w:rsidRPr="00431ABC" w:rsidRDefault="00113E6B" w:rsidP="001447BD">
            <w:pPr>
              <w:rPr>
                <w:rFonts w:eastAsia="Calibri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="001A550D">
              <w:rPr>
                <w:sz w:val="24"/>
                <w:szCs w:val="24"/>
              </w:rPr>
              <w:t>бщество с ограниченной ответственностью «КАМАЗ-Энерго»</w:t>
            </w:r>
          </w:p>
        </w:tc>
        <w:tc>
          <w:tcPr>
            <w:tcW w:w="7200" w:type="dxa"/>
            <w:gridSpan w:val="2"/>
            <w:vAlign w:val="center"/>
          </w:tcPr>
          <w:p w:rsidR="001A550D" w:rsidRPr="00823588" w:rsidRDefault="006A77C7" w:rsidP="0014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153 204,96</w:t>
            </w:r>
          </w:p>
        </w:tc>
      </w:tr>
    </w:tbl>
    <w:p w:rsidR="00C054B1" w:rsidRPr="007B5077" w:rsidRDefault="00C054B1" w:rsidP="00C054B1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˂*˃ Примечание: В </w:t>
      </w:r>
      <w:r w:rsidRPr="007B5077">
        <w:rPr>
          <w:color w:val="000000"/>
          <w:sz w:val="24"/>
          <w:szCs w:val="24"/>
        </w:rPr>
        <w:t>группу лиц ПАО «КАМАЗ»</w:t>
      </w:r>
      <w:r>
        <w:rPr>
          <w:color w:val="000000"/>
          <w:sz w:val="24"/>
          <w:szCs w:val="24"/>
        </w:rPr>
        <w:t xml:space="preserve"> входят: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ПАО «КАМАЗ» Литейный завод;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ПАО «КАМАЗ» Кузнечный завод;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ПАО «КАМАЗ» ПРЗ;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>- ПАО «КАМАЗ» Завод двигателей;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ПАО «КАМАЗ» Автомобильный завод и департаменты;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ПАО «КАМАЗ» РИЗ;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ПАО «КАМАЗ» </w:t>
      </w:r>
      <w:proofErr w:type="spellStart"/>
      <w:r w:rsidRPr="00924852">
        <w:rPr>
          <w:color w:val="000000"/>
          <w:sz w:val="24"/>
          <w:szCs w:val="24"/>
        </w:rPr>
        <w:t>ЗЗЧиК</w:t>
      </w:r>
      <w:proofErr w:type="spellEnd"/>
      <w:r w:rsidRPr="00924852">
        <w:rPr>
          <w:color w:val="000000"/>
          <w:sz w:val="24"/>
          <w:szCs w:val="24"/>
        </w:rPr>
        <w:t>;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ООО «ПЖДТ-Сервис»;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АО «ТФК»;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ООО «АЗК»;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>- ООО «</w:t>
      </w:r>
      <w:proofErr w:type="spellStart"/>
      <w:r w:rsidRPr="00924852">
        <w:rPr>
          <w:color w:val="000000"/>
          <w:sz w:val="24"/>
          <w:szCs w:val="24"/>
        </w:rPr>
        <w:t>Интер</w:t>
      </w:r>
      <w:proofErr w:type="spellEnd"/>
      <w:r w:rsidRPr="00924852">
        <w:rPr>
          <w:color w:val="000000"/>
          <w:sz w:val="24"/>
          <w:szCs w:val="24"/>
        </w:rPr>
        <w:t xml:space="preserve"> Транс-КАМАЗ»;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АО «КИП «Мастер»; </w:t>
      </w:r>
    </w:p>
    <w:p w:rsidR="00924852" w:rsidRPr="00924852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 xml:space="preserve">- ООО «ЧЕЛНЫВОДОКАНАЛ»; </w:t>
      </w:r>
    </w:p>
    <w:p w:rsidR="00C054B1" w:rsidRPr="007B5077" w:rsidRDefault="00924852" w:rsidP="00924852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924852">
        <w:rPr>
          <w:color w:val="000000"/>
          <w:sz w:val="24"/>
          <w:szCs w:val="24"/>
        </w:rPr>
        <w:t>- ПАО «КАМАЗ» ПКК SFTP.</w:t>
      </w:r>
    </w:p>
    <w:p w:rsidR="00C054B1" w:rsidRPr="007B5077" w:rsidRDefault="00C054B1" w:rsidP="00C054B1">
      <w:pPr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</w:p>
    <w:p w:rsidR="00C054B1" w:rsidRDefault="00C054B1" w:rsidP="00C054B1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054B1" w:rsidRDefault="00C054B1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C054B1" w:rsidSect="00C054B1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4C7F"/>
    <w:rsid w:val="00005B8B"/>
    <w:rsid w:val="000068A1"/>
    <w:rsid w:val="00010284"/>
    <w:rsid w:val="00016999"/>
    <w:rsid w:val="0002320F"/>
    <w:rsid w:val="00041682"/>
    <w:rsid w:val="000417D5"/>
    <w:rsid w:val="00045DD6"/>
    <w:rsid w:val="00052F06"/>
    <w:rsid w:val="0005719A"/>
    <w:rsid w:val="000628CF"/>
    <w:rsid w:val="00066F42"/>
    <w:rsid w:val="0007606A"/>
    <w:rsid w:val="00077C75"/>
    <w:rsid w:val="000822E2"/>
    <w:rsid w:val="00085DC4"/>
    <w:rsid w:val="000977AF"/>
    <w:rsid w:val="000A4778"/>
    <w:rsid w:val="000A6352"/>
    <w:rsid w:val="000A7529"/>
    <w:rsid w:val="000B23CC"/>
    <w:rsid w:val="000B70CE"/>
    <w:rsid w:val="000C158B"/>
    <w:rsid w:val="000C71D0"/>
    <w:rsid w:val="000D19B6"/>
    <w:rsid w:val="000E0B3C"/>
    <w:rsid w:val="000E733F"/>
    <w:rsid w:val="000F1A58"/>
    <w:rsid w:val="001016EA"/>
    <w:rsid w:val="00113E6B"/>
    <w:rsid w:val="00114106"/>
    <w:rsid w:val="00121CF4"/>
    <w:rsid w:val="00134897"/>
    <w:rsid w:val="00136EE8"/>
    <w:rsid w:val="001400C3"/>
    <w:rsid w:val="001447BD"/>
    <w:rsid w:val="00151588"/>
    <w:rsid w:val="00151A5C"/>
    <w:rsid w:val="001533D7"/>
    <w:rsid w:val="00157131"/>
    <w:rsid w:val="00172887"/>
    <w:rsid w:val="00172B98"/>
    <w:rsid w:val="00177FFA"/>
    <w:rsid w:val="00180139"/>
    <w:rsid w:val="0018016C"/>
    <w:rsid w:val="00186C66"/>
    <w:rsid w:val="00196169"/>
    <w:rsid w:val="001A3B4B"/>
    <w:rsid w:val="001A550D"/>
    <w:rsid w:val="001A58C2"/>
    <w:rsid w:val="001B09D6"/>
    <w:rsid w:val="001B3516"/>
    <w:rsid w:val="001B6835"/>
    <w:rsid w:val="001C2A59"/>
    <w:rsid w:val="001E26B2"/>
    <w:rsid w:val="001F7677"/>
    <w:rsid w:val="0020215D"/>
    <w:rsid w:val="002035EA"/>
    <w:rsid w:val="00203E50"/>
    <w:rsid w:val="00206B92"/>
    <w:rsid w:val="002132C1"/>
    <w:rsid w:val="002167FB"/>
    <w:rsid w:val="0022033C"/>
    <w:rsid w:val="00220787"/>
    <w:rsid w:val="00225010"/>
    <w:rsid w:val="00227FA5"/>
    <w:rsid w:val="00235377"/>
    <w:rsid w:val="00254840"/>
    <w:rsid w:val="00274C5E"/>
    <w:rsid w:val="00283E8C"/>
    <w:rsid w:val="00285398"/>
    <w:rsid w:val="002A5C8A"/>
    <w:rsid w:val="002A67E2"/>
    <w:rsid w:val="002B1063"/>
    <w:rsid w:val="002B373E"/>
    <w:rsid w:val="002B3F20"/>
    <w:rsid w:val="002C79D9"/>
    <w:rsid w:val="002D3806"/>
    <w:rsid w:val="002D46D9"/>
    <w:rsid w:val="002D5D1F"/>
    <w:rsid w:val="002E05BB"/>
    <w:rsid w:val="002E1CA7"/>
    <w:rsid w:val="002F19F3"/>
    <w:rsid w:val="002F47FA"/>
    <w:rsid w:val="003041FF"/>
    <w:rsid w:val="003116CF"/>
    <w:rsid w:val="003160A2"/>
    <w:rsid w:val="003241BE"/>
    <w:rsid w:val="003279F7"/>
    <w:rsid w:val="00340BC3"/>
    <w:rsid w:val="00343D01"/>
    <w:rsid w:val="00345494"/>
    <w:rsid w:val="00355338"/>
    <w:rsid w:val="003556FE"/>
    <w:rsid w:val="00357A2E"/>
    <w:rsid w:val="00360CEA"/>
    <w:rsid w:val="0036570A"/>
    <w:rsid w:val="00366C37"/>
    <w:rsid w:val="00371EFD"/>
    <w:rsid w:val="00376B12"/>
    <w:rsid w:val="00390387"/>
    <w:rsid w:val="00392DB2"/>
    <w:rsid w:val="003B3A2E"/>
    <w:rsid w:val="003B7317"/>
    <w:rsid w:val="003C2F24"/>
    <w:rsid w:val="003C3B8C"/>
    <w:rsid w:val="003C4B09"/>
    <w:rsid w:val="003D04E5"/>
    <w:rsid w:val="003D5DFC"/>
    <w:rsid w:val="003F5964"/>
    <w:rsid w:val="0040318C"/>
    <w:rsid w:val="00403E92"/>
    <w:rsid w:val="004052A7"/>
    <w:rsid w:val="004156A7"/>
    <w:rsid w:val="00423505"/>
    <w:rsid w:val="004247E8"/>
    <w:rsid w:val="00433074"/>
    <w:rsid w:val="00446258"/>
    <w:rsid w:val="00450537"/>
    <w:rsid w:val="00455443"/>
    <w:rsid w:val="00465D13"/>
    <w:rsid w:val="00471D3E"/>
    <w:rsid w:val="00473052"/>
    <w:rsid w:val="00474A51"/>
    <w:rsid w:val="00480C8D"/>
    <w:rsid w:val="0048254E"/>
    <w:rsid w:val="00482E06"/>
    <w:rsid w:val="00495B51"/>
    <w:rsid w:val="00496DE1"/>
    <w:rsid w:val="004A3B01"/>
    <w:rsid w:val="004A3E4C"/>
    <w:rsid w:val="004B3853"/>
    <w:rsid w:val="004B7679"/>
    <w:rsid w:val="004C74FA"/>
    <w:rsid w:val="004D2182"/>
    <w:rsid w:val="004E5A11"/>
    <w:rsid w:val="004E6B79"/>
    <w:rsid w:val="004F58A8"/>
    <w:rsid w:val="005055CE"/>
    <w:rsid w:val="0050683A"/>
    <w:rsid w:val="00511667"/>
    <w:rsid w:val="00511A39"/>
    <w:rsid w:val="0051228F"/>
    <w:rsid w:val="005179DF"/>
    <w:rsid w:val="00517B1B"/>
    <w:rsid w:val="00525571"/>
    <w:rsid w:val="00532898"/>
    <w:rsid w:val="0053789E"/>
    <w:rsid w:val="00543CCE"/>
    <w:rsid w:val="0054549D"/>
    <w:rsid w:val="00550DB2"/>
    <w:rsid w:val="005523E5"/>
    <w:rsid w:val="00553DCA"/>
    <w:rsid w:val="00557687"/>
    <w:rsid w:val="0056055B"/>
    <w:rsid w:val="00566795"/>
    <w:rsid w:val="00571BE8"/>
    <w:rsid w:val="00571F24"/>
    <w:rsid w:val="00574EEC"/>
    <w:rsid w:val="00583CB2"/>
    <w:rsid w:val="00584117"/>
    <w:rsid w:val="00591626"/>
    <w:rsid w:val="00593B6F"/>
    <w:rsid w:val="00594505"/>
    <w:rsid w:val="00595BDF"/>
    <w:rsid w:val="005A1686"/>
    <w:rsid w:val="005A2B0A"/>
    <w:rsid w:val="005B36C5"/>
    <w:rsid w:val="005B3E46"/>
    <w:rsid w:val="005B4877"/>
    <w:rsid w:val="005C1A40"/>
    <w:rsid w:val="005C443F"/>
    <w:rsid w:val="005C4508"/>
    <w:rsid w:val="005C5CDF"/>
    <w:rsid w:val="005D0C16"/>
    <w:rsid w:val="005E280F"/>
    <w:rsid w:val="005E3916"/>
    <w:rsid w:val="005F1A46"/>
    <w:rsid w:val="005F7AB9"/>
    <w:rsid w:val="00600EB5"/>
    <w:rsid w:val="00611333"/>
    <w:rsid w:val="0061144C"/>
    <w:rsid w:val="0061285F"/>
    <w:rsid w:val="00620EC4"/>
    <w:rsid w:val="00622E9A"/>
    <w:rsid w:val="00623488"/>
    <w:rsid w:val="006247DB"/>
    <w:rsid w:val="0062642D"/>
    <w:rsid w:val="006271A2"/>
    <w:rsid w:val="00631664"/>
    <w:rsid w:val="0063423E"/>
    <w:rsid w:val="00640CA3"/>
    <w:rsid w:val="006516F6"/>
    <w:rsid w:val="0065603E"/>
    <w:rsid w:val="00660CF7"/>
    <w:rsid w:val="006847B3"/>
    <w:rsid w:val="006A18BB"/>
    <w:rsid w:val="006A77C7"/>
    <w:rsid w:val="006E23A3"/>
    <w:rsid w:val="006E56ED"/>
    <w:rsid w:val="006E6557"/>
    <w:rsid w:val="00701377"/>
    <w:rsid w:val="00704309"/>
    <w:rsid w:val="00705771"/>
    <w:rsid w:val="0070728B"/>
    <w:rsid w:val="00715847"/>
    <w:rsid w:val="00716765"/>
    <w:rsid w:val="00751C8A"/>
    <w:rsid w:val="00760B50"/>
    <w:rsid w:val="007703B6"/>
    <w:rsid w:val="00773D36"/>
    <w:rsid w:val="00775B6E"/>
    <w:rsid w:val="00780553"/>
    <w:rsid w:val="007915CC"/>
    <w:rsid w:val="00792DB4"/>
    <w:rsid w:val="00794E57"/>
    <w:rsid w:val="00795449"/>
    <w:rsid w:val="007A096B"/>
    <w:rsid w:val="007A3629"/>
    <w:rsid w:val="007C42B9"/>
    <w:rsid w:val="007D2FEF"/>
    <w:rsid w:val="007E1B37"/>
    <w:rsid w:val="007E30BC"/>
    <w:rsid w:val="007E49D4"/>
    <w:rsid w:val="00813950"/>
    <w:rsid w:val="00815509"/>
    <w:rsid w:val="00815A44"/>
    <w:rsid w:val="008205D4"/>
    <w:rsid w:val="008233D4"/>
    <w:rsid w:val="008251A9"/>
    <w:rsid w:val="008425D9"/>
    <w:rsid w:val="00853340"/>
    <w:rsid w:val="0086116D"/>
    <w:rsid w:val="00877DBD"/>
    <w:rsid w:val="0088166A"/>
    <w:rsid w:val="00896DA1"/>
    <w:rsid w:val="008A09BE"/>
    <w:rsid w:val="008A413F"/>
    <w:rsid w:val="008A6AD5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24852"/>
    <w:rsid w:val="00935947"/>
    <w:rsid w:val="009372B4"/>
    <w:rsid w:val="009428B0"/>
    <w:rsid w:val="0095125A"/>
    <w:rsid w:val="00956351"/>
    <w:rsid w:val="009566A7"/>
    <w:rsid w:val="009732EA"/>
    <w:rsid w:val="00973B99"/>
    <w:rsid w:val="0098517D"/>
    <w:rsid w:val="00991848"/>
    <w:rsid w:val="0099248F"/>
    <w:rsid w:val="009928E9"/>
    <w:rsid w:val="0099482D"/>
    <w:rsid w:val="009A17D5"/>
    <w:rsid w:val="009A271A"/>
    <w:rsid w:val="009A775A"/>
    <w:rsid w:val="009B0026"/>
    <w:rsid w:val="009B559D"/>
    <w:rsid w:val="009C19EE"/>
    <w:rsid w:val="009D2F44"/>
    <w:rsid w:val="009E5AA4"/>
    <w:rsid w:val="009F3B5B"/>
    <w:rsid w:val="00A07655"/>
    <w:rsid w:val="00A164F8"/>
    <w:rsid w:val="00A2360A"/>
    <w:rsid w:val="00A26683"/>
    <w:rsid w:val="00A3332B"/>
    <w:rsid w:val="00A3568A"/>
    <w:rsid w:val="00A4370B"/>
    <w:rsid w:val="00A506C0"/>
    <w:rsid w:val="00A51840"/>
    <w:rsid w:val="00A55951"/>
    <w:rsid w:val="00A64116"/>
    <w:rsid w:val="00A64267"/>
    <w:rsid w:val="00A83266"/>
    <w:rsid w:val="00A8334E"/>
    <w:rsid w:val="00A8418B"/>
    <w:rsid w:val="00A905BE"/>
    <w:rsid w:val="00A93F10"/>
    <w:rsid w:val="00A97500"/>
    <w:rsid w:val="00AB2A0D"/>
    <w:rsid w:val="00AB522E"/>
    <w:rsid w:val="00AB6D32"/>
    <w:rsid w:val="00AC72EF"/>
    <w:rsid w:val="00AD4DE5"/>
    <w:rsid w:val="00AD6472"/>
    <w:rsid w:val="00AE0769"/>
    <w:rsid w:val="00AE0773"/>
    <w:rsid w:val="00AE0DA0"/>
    <w:rsid w:val="00AE1227"/>
    <w:rsid w:val="00AE1B0F"/>
    <w:rsid w:val="00AE4B4F"/>
    <w:rsid w:val="00AF167B"/>
    <w:rsid w:val="00AF2D2A"/>
    <w:rsid w:val="00B07405"/>
    <w:rsid w:val="00B15D39"/>
    <w:rsid w:val="00B252DF"/>
    <w:rsid w:val="00B33A96"/>
    <w:rsid w:val="00B3451E"/>
    <w:rsid w:val="00B34DE3"/>
    <w:rsid w:val="00B4069C"/>
    <w:rsid w:val="00B40E10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86621"/>
    <w:rsid w:val="00B93922"/>
    <w:rsid w:val="00B962CE"/>
    <w:rsid w:val="00BA384C"/>
    <w:rsid w:val="00BA4F51"/>
    <w:rsid w:val="00BA6135"/>
    <w:rsid w:val="00BB2807"/>
    <w:rsid w:val="00BB2A1F"/>
    <w:rsid w:val="00BC138D"/>
    <w:rsid w:val="00BC3FF5"/>
    <w:rsid w:val="00BF0132"/>
    <w:rsid w:val="00BF62EB"/>
    <w:rsid w:val="00BF6395"/>
    <w:rsid w:val="00C054B1"/>
    <w:rsid w:val="00C07254"/>
    <w:rsid w:val="00C111D0"/>
    <w:rsid w:val="00C21759"/>
    <w:rsid w:val="00C26EFD"/>
    <w:rsid w:val="00C36218"/>
    <w:rsid w:val="00C478D3"/>
    <w:rsid w:val="00C54F43"/>
    <w:rsid w:val="00C65A70"/>
    <w:rsid w:val="00C65DC4"/>
    <w:rsid w:val="00C71298"/>
    <w:rsid w:val="00C76572"/>
    <w:rsid w:val="00C80027"/>
    <w:rsid w:val="00C83975"/>
    <w:rsid w:val="00C9392B"/>
    <w:rsid w:val="00C93E45"/>
    <w:rsid w:val="00CB6828"/>
    <w:rsid w:val="00CC102E"/>
    <w:rsid w:val="00CC1B52"/>
    <w:rsid w:val="00CC2666"/>
    <w:rsid w:val="00CC399F"/>
    <w:rsid w:val="00CD2936"/>
    <w:rsid w:val="00CD52C6"/>
    <w:rsid w:val="00CD7881"/>
    <w:rsid w:val="00CE2736"/>
    <w:rsid w:val="00CE2FE8"/>
    <w:rsid w:val="00CE4F94"/>
    <w:rsid w:val="00CF16C4"/>
    <w:rsid w:val="00CF2DEC"/>
    <w:rsid w:val="00CF4E3E"/>
    <w:rsid w:val="00D03E72"/>
    <w:rsid w:val="00D1269F"/>
    <w:rsid w:val="00D20A2C"/>
    <w:rsid w:val="00D2670E"/>
    <w:rsid w:val="00D26BA0"/>
    <w:rsid w:val="00D366EE"/>
    <w:rsid w:val="00D4050A"/>
    <w:rsid w:val="00D4385D"/>
    <w:rsid w:val="00D520AF"/>
    <w:rsid w:val="00D74005"/>
    <w:rsid w:val="00D7595C"/>
    <w:rsid w:val="00D76BB6"/>
    <w:rsid w:val="00D8504D"/>
    <w:rsid w:val="00DB1BA3"/>
    <w:rsid w:val="00DB327A"/>
    <w:rsid w:val="00DD169F"/>
    <w:rsid w:val="00DE47BB"/>
    <w:rsid w:val="00DE7812"/>
    <w:rsid w:val="00DF34FA"/>
    <w:rsid w:val="00DF62B7"/>
    <w:rsid w:val="00E14EC1"/>
    <w:rsid w:val="00E160A5"/>
    <w:rsid w:val="00E21A67"/>
    <w:rsid w:val="00E260EF"/>
    <w:rsid w:val="00E26604"/>
    <w:rsid w:val="00E36F72"/>
    <w:rsid w:val="00E419EA"/>
    <w:rsid w:val="00E44829"/>
    <w:rsid w:val="00E45B00"/>
    <w:rsid w:val="00E53D67"/>
    <w:rsid w:val="00E70542"/>
    <w:rsid w:val="00E85C3F"/>
    <w:rsid w:val="00E85D78"/>
    <w:rsid w:val="00E95DCA"/>
    <w:rsid w:val="00EB4D09"/>
    <w:rsid w:val="00EB6CA5"/>
    <w:rsid w:val="00EC1EE3"/>
    <w:rsid w:val="00EC6156"/>
    <w:rsid w:val="00EC7BF3"/>
    <w:rsid w:val="00ED52ED"/>
    <w:rsid w:val="00ED69E6"/>
    <w:rsid w:val="00EE27FA"/>
    <w:rsid w:val="00EF370E"/>
    <w:rsid w:val="00EF5955"/>
    <w:rsid w:val="00EF61A4"/>
    <w:rsid w:val="00F02081"/>
    <w:rsid w:val="00F042E5"/>
    <w:rsid w:val="00F07A42"/>
    <w:rsid w:val="00F1165B"/>
    <w:rsid w:val="00F154A0"/>
    <w:rsid w:val="00F31305"/>
    <w:rsid w:val="00F36835"/>
    <w:rsid w:val="00F40048"/>
    <w:rsid w:val="00F5027C"/>
    <w:rsid w:val="00F527B3"/>
    <w:rsid w:val="00F61465"/>
    <w:rsid w:val="00F61935"/>
    <w:rsid w:val="00F64CC8"/>
    <w:rsid w:val="00F66460"/>
    <w:rsid w:val="00F87A7B"/>
    <w:rsid w:val="00F95190"/>
    <w:rsid w:val="00F96003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55F9-159B-4134-93A6-F920EB0B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39</cp:revision>
  <cp:lastPrinted>2018-11-23T08:48:00Z</cp:lastPrinted>
  <dcterms:created xsi:type="dcterms:W3CDTF">2016-11-02T08:33:00Z</dcterms:created>
  <dcterms:modified xsi:type="dcterms:W3CDTF">2018-11-27T14:18:00Z</dcterms:modified>
</cp:coreProperties>
</file>