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3C" w:rsidRDefault="00395E3C" w:rsidP="003949F0">
      <w:pPr>
        <w:spacing w:after="0" w:line="360" w:lineRule="auto"/>
        <w:ind w:left="-1080" w:right="-18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Резервы роста экономики  Татарстана   </w:t>
      </w:r>
    </w:p>
    <w:p w:rsidR="00395E3C" w:rsidRDefault="00395E3C" w:rsidP="00012150">
      <w:pPr>
        <w:spacing w:after="0" w:line="360" w:lineRule="auto"/>
        <w:ind w:left="-180" w:right="-185"/>
        <w:jc w:val="center"/>
        <w:rPr>
          <w:rFonts w:ascii="Arial" w:hAnsi="Arial" w:cs="Arial"/>
          <w:b/>
          <w:sz w:val="32"/>
          <w:szCs w:val="32"/>
        </w:rPr>
      </w:pPr>
    </w:p>
    <w:p w:rsidR="00395E3C" w:rsidRPr="00C35782" w:rsidRDefault="00395E3C" w:rsidP="003949F0">
      <w:pPr>
        <w:spacing w:after="0" w:line="360" w:lineRule="auto"/>
        <w:ind w:left="-540" w:right="-18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Интервью </w:t>
      </w:r>
      <w:r w:rsidRPr="00C35782">
        <w:rPr>
          <w:rFonts w:ascii="Arial" w:hAnsi="Arial" w:cs="Arial"/>
          <w:b/>
          <w:sz w:val="32"/>
          <w:szCs w:val="32"/>
        </w:rPr>
        <w:t>Президента  Республики Татарстан</w:t>
      </w:r>
    </w:p>
    <w:p w:rsidR="00395E3C" w:rsidRDefault="00395E3C" w:rsidP="003949F0">
      <w:pPr>
        <w:spacing w:after="0" w:line="360" w:lineRule="auto"/>
        <w:ind w:left="-540" w:right="-185"/>
        <w:rPr>
          <w:rFonts w:ascii="Arial" w:hAnsi="Arial" w:cs="Arial"/>
          <w:b/>
          <w:sz w:val="32"/>
          <w:szCs w:val="32"/>
        </w:rPr>
      </w:pPr>
      <w:r w:rsidRPr="00C35782">
        <w:rPr>
          <w:rFonts w:ascii="Arial" w:hAnsi="Arial" w:cs="Arial"/>
          <w:b/>
          <w:sz w:val="32"/>
          <w:szCs w:val="32"/>
        </w:rPr>
        <w:t xml:space="preserve">Р.Н. Минниханова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35782">
        <w:rPr>
          <w:rFonts w:ascii="Arial" w:hAnsi="Arial" w:cs="Arial"/>
          <w:b/>
          <w:sz w:val="32"/>
          <w:szCs w:val="32"/>
        </w:rPr>
        <w:t>журнал</w:t>
      </w:r>
      <w:r>
        <w:rPr>
          <w:rFonts w:ascii="Arial" w:hAnsi="Arial" w:cs="Arial"/>
          <w:b/>
          <w:sz w:val="32"/>
          <w:szCs w:val="32"/>
        </w:rPr>
        <w:t>у</w:t>
      </w:r>
      <w:r w:rsidRPr="00C35782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>«Моя Империя»</w:t>
      </w:r>
    </w:p>
    <w:p w:rsidR="00395E3C" w:rsidRDefault="00395E3C" w:rsidP="003949F0">
      <w:pPr>
        <w:spacing w:after="0" w:line="360" w:lineRule="auto"/>
        <w:ind w:left="-540" w:right="-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(</w:t>
      </w:r>
      <w:r w:rsidRPr="00971CD7">
        <w:rPr>
          <w:rFonts w:ascii="Arial" w:hAnsi="Arial" w:cs="Arial"/>
          <w:b/>
          <w:sz w:val="24"/>
          <w:szCs w:val="24"/>
        </w:rPr>
        <w:t>Республика Чувашия)</w:t>
      </w:r>
    </w:p>
    <w:p w:rsidR="00395E3C" w:rsidRPr="00C35782" w:rsidRDefault="00395E3C" w:rsidP="00C35782">
      <w:pPr>
        <w:spacing w:after="0" w:line="360" w:lineRule="auto"/>
        <w:ind w:left="-540" w:right="-185"/>
        <w:jc w:val="center"/>
        <w:rPr>
          <w:rFonts w:ascii="Arial" w:hAnsi="Arial" w:cs="Arial"/>
          <w:b/>
          <w:sz w:val="32"/>
          <w:szCs w:val="32"/>
        </w:rPr>
      </w:pPr>
    </w:p>
    <w:p w:rsidR="00395E3C" w:rsidRPr="008E3711" w:rsidRDefault="00395E3C" w:rsidP="00B90DB4">
      <w:pPr>
        <w:pStyle w:val="ListParagraph"/>
        <w:numPr>
          <w:ilvl w:val="0"/>
          <w:numId w:val="1"/>
        </w:numPr>
        <w:spacing w:after="0" w:line="360" w:lineRule="auto"/>
        <w:ind w:left="-540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E3711">
        <w:rPr>
          <w:rFonts w:ascii="Arial" w:hAnsi="Arial" w:cs="Arial"/>
          <w:b/>
          <w:color w:val="000000"/>
          <w:sz w:val="28"/>
          <w:szCs w:val="28"/>
        </w:rPr>
        <w:t xml:space="preserve">Рустам Нургалиевич, Республика Татарстан сегодня занимает  ведущие  позиции по  целому ряду направлений  промышленного развития  среди  индустриально развитых регионов Российской Федерации. В чем,  на Ваш взгляд,  секрет  ее  успешного экономического  развития?    </w:t>
      </w:r>
    </w:p>
    <w:p w:rsidR="00395E3C" w:rsidRPr="008E3711" w:rsidRDefault="00395E3C" w:rsidP="00B90DB4">
      <w:pPr>
        <w:pStyle w:val="ListParagraph"/>
        <w:spacing w:after="0" w:line="360" w:lineRule="auto"/>
        <w:ind w:left="-54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3711">
        <w:rPr>
          <w:rFonts w:ascii="Arial" w:hAnsi="Arial" w:cs="Arial"/>
          <w:color w:val="000000"/>
          <w:sz w:val="28"/>
          <w:szCs w:val="28"/>
        </w:rPr>
        <w:t xml:space="preserve">Особого  секрета нет. Но нам удалось за последние годы сделать главное – обеспечить  формирование ядра промышленного комплекса нашей республики  не только традиционными предприятиями, которые создавали основу экономики в 80-90 годы прошлого века, но и </w:t>
      </w:r>
      <w:r>
        <w:rPr>
          <w:rFonts w:ascii="Arial" w:hAnsi="Arial" w:cs="Arial"/>
          <w:color w:val="000000"/>
          <w:sz w:val="28"/>
          <w:szCs w:val="28"/>
        </w:rPr>
        <w:t>открыть</w:t>
      </w:r>
      <w:r w:rsidRPr="008E3711">
        <w:rPr>
          <w:rFonts w:ascii="Arial" w:hAnsi="Arial" w:cs="Arial"/>
          <w:color w:val="000000"/>
          <w:sz w:val="28"/>
          <w:szCs w:val="28"/>
        </w:rPr>
        <w:t xml:space="preserve"> новые  производства.  </w:t>
      </w:r>
    </w:p>
    <w:p w:rsidR="00395E3C" w:rsidRPr="008E3711" w:rsidRDefault="00395E3C" w:rsidP="00B90DB4">
      <w:pPr>
        <w:pStyle w:val="ListParagraph"/>
        <w:spacing w:after="0" w:line="360" w:lineRule="auto"/>
        <w:ind w:left="-54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3711">
        <w:rPr>
          <w:rFonts w:ascii="Arial" w:hAnsi="Arial" w:cs="Arial"/>
          <w:color w:val="000000"/>
          <w:sz w:val="28"/>
          <w:szCs w:val="28"/>
        </w:rPr>
        <w:t xml:space="preserve">К примеру, в  нефтехимическом комплексе особую роль стали играть предприятия по переработке и производству полимеров. Ряд предприятий вышли на 4-й и 5-й переделы. Завершается строительство крупнейших нефтеперерабатывающих заводов с глубокой переработкой нефти порядка </w:t>
      </w:r>
      <w:r w:rsidRPr="008E3711">
        <w:rPr>
          <w:rFonts w:ascii="Arial" w:hAnsi="Arial" w:cs="Arial"/>
          <w:b/>
          <w:color w:val="000000"/>
          <w:sz w:val="28"/>
          <w:szCs w:val="28"/>
        </w:rPr>
        <w:t>96%</w:t>
      </w:r>
      <w:r w:rsidRPr="008E3711">
        <w:rPr>
          <w:rFonts w:ascii="Arial" w:hAnsi="Arial" w:cs="Arial"/>
          <w:color w:val="000000"/>
          <w:sz w:val="28"/>
          <w:szCs w:val="28"/>
        </w:rPr>
        <w:t xml:space="preserve">. Заводы комплекса будут производить </w:t>
      </w:r>
      <w:r w:rsidRPr="008E3711">
        <w:rPr>
          <w:rFonts w:ascii="Arial" w:hAnsi="Arial" w:cs="Arial"/>
          <w:b/>
          <w:color w:val="000000"/>
          <w:sz w:val="28"/>
          <w:szCs w:val="28"/>
        </w:rPr>
        <w:t>18</w:t>
      </w:r>
      <w:r w:rsidRPr="008E3711">
        <w:rPr>
          <w:rFonts w:ascii="Arial" w:hAnsi="Arial" w:cs="Arial"/>
          <w:color w:val="000000"/>
          <w:sz w:val="28"/>
          <w:szCs w:val="28"/>
        </w:rPr>
        <w:t xml:space="preserve"> видов продуктов переработки нефти – от моторных топлив европейского качества до компонентов сырья для производства широкой гаммы востребованной нефтехимической продукции. В результате произойдет замещение экспорта нефти экспортом высококачественных нефтепродуктов.</w:t>
      </w:r>
    </w:p>
    <w:p w:rsidR="00395E3C" w:rsidRPr="008E3711" w:rsidRDefault="00395E3C" w:rsidP="00B90DB4">
      <w:pPr>
        <w:pStyle w:val="ListParagraph"/>
        <w:spacing w:after="0" w:line="360" w:lineRule="auto"/>
        <w:ind w:left="-54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3711">
        <w:rPr>
          <w:rFonts w:ascii="Arial" w:hAnsi="Arial" w:cs="Arial"/>
          <w:color w:val="000000"/>
          <w:sz w:val="28"/>
          <w:szCs w:val="28"/>
        </w:rPr>
        <w:t xml:space="preserve">Реализация проекта позволит за период 2011-2017 годы создать более </w:t>
      </w:r>
      <w:r w:rsidRPr="008E3711">
        <w:rPr>
          <w:rFonts w:ascii="Arial" w:hAnsi="Arial" w:cs="Arial"/>
          <w:b/>
          <w:color w:val="000000"/>
          <w:sz w:val="28"/>
          <w:szCs w:val="28"/>
        </w:rPr>
        <w:t>3-х</w:t>
      </w:r>
      <w:r w:rsidRPr="008E3711">
        <w:rPr>
          <w:rFonts w:ascii="Arial" w:hAnsi="Arial" w:cs="Arial"/>
          <w:color w:val="000000"/>
          <w:sz w:val="28"/>
          <w:szCs w:val="28"/>
        </w:rPr>
        <w:t xml:space="preserve"> тысяч новых рабочих мест, обеспечить налоговые поступления в бюджет Татарстана в сумме более </w:t>
      </w:r>
      <w:r w:rsidRPr="008E3711">
        <w:rPr>
          <w:rFonts w:ascii="Arial" w:hAnsi="Arial" w:cs="Arial"/>
          <w:b/>
          <w:color w:val="000000"/>
          <w:sz w:val="28"/>
          <w:szCs w:val="28"/>
        </w:rPr>
        <w:t>21</w:t>
      </w:r>
      <w:r w:rsidRPr="008E3711">
        <w:rPr>
          <w:rFonts w:ascii="Arial" w:hAnsi="Arial" w:cs="Arial"/>
          <w:color w:val="000000"/>
          <w:sz w:val="28"/>
          <w:szCs w:val="28"/>
        </w:rPr>
        <w:t xml:space="preserve"> млрд. руб.</w:t>
      </w:r>
    </w:p>
    <w:p w:rsidR="00395E3C" w:rsidRPr="008E3711" w:rsidRDefault="00395E3C" w:rsidP="00B90DB4">
      <w:pPr>
        <w:pStyle w:val="ListParagraph"/>
        <w:spacing w:after="0" w:line="360" w:lineRule="auto"/>
        <w:ind w:left="-54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3711">
        <w:rPr>
          <w:rFonts w:ascii="Arial" w:hAnsi="Arial" w:cs="Arial"/>
          <w:color w:val="000000"/>
          <w:sz w:val="28"/>
          <w:szCs w:val="28"/>
        </w:rPr>
        <w:t xml:space="preserve">Вокруг этого ядра создаются компонентные производства, развивается малый бизнес. Кроме этих направлений стабильно работает и расширяет свою деятельность строительный комплекс. Особую роль в этом секторе играют проекты Универсиады 2013 года, а также реализация Программы социальной ипотеки, Программы капитального ремонта жилья. К слову сказать, по  данному  направлению за последние 2 года республика освоила около </w:t>
      </w:r>
      <w:r w:rsidRPr="008E3711">
        <w:rPr>
          <w:rFonts w:ascii="Arial" w:hAnsi="Arial" w:cs="Arial"/>
          <w:b/>
          <w:color w:val="000000"/>
          <w:sz w:val="28"/>
          <w:szCs w:val="28"/>
        </w:rPr>
        <w:t>14</w:t>
      </w:r>
      <w:r w:rsidRPr="008E3711">
        <w:rPr>
          <w:rFonts w:ascii="Arial" w:hAnsi="Arial" w:cs="Arial"/>
          <w:color w:val="000000"/>
          <w:sz w:val="28"/>
          <w:szCs w:val="28"/>
        </w:rPr>
        <w:t xml:space="preserve"> млрд. руб. </w:t>
      </w:r>
    </w:p>
    <w:p w:rsidR="00395E3C" w:rsidRPr="008E3711" w:rsidRDefault="00395E3C" w:rsidP="009276AC">
      <w:pPr>
        <w:pStyle w:val="ListParagraph"/>
        <w:spacing w:after="0" w:line="360" w:lineRule="auto"/>
        <w:ind w:left="-540" w:firstLine="709"/>
        <w:jc w:val="both"/>
        <w:rPr>
          <w:rFonts w:ascii="Arial" w:hAnsi="Arial" w:cs="Arial"/>
          <w:sz w:val="28"/>
          <w:szCs w:val="28"/>
        </w:rPr>
      </w:pPr>
      <w:r w:rsidRPr="008E3711">
        <w:rPr>
          <w:rFonts w:ascii="Arial" w:hAnsi="Arial" w:cs="Arial"/>
          <w:sz w:val="28"/>
          <w:szCs w:val="28"/>
        </w:rPr>
        <w:t xml:space="preserve">Устойчиво развивается агропромышленный комплекс, сегодня его доля в экономике республики составляет </w:t>
      </w:r>
      <w:r w:rsidRPr="008E3711">
        <w:rPr>
          <w:rFonts w:ascii="Arial" w:hAnsi="Arial" w:cs="Arial"/>
          <w:b/>
          <w:sz w:val="28"/>
          <w:szCs w:val="28"/>
        </w:rPr>
        <w:t>8%</w:t>
      </w:r>
      <w:r w:rsidRPr="008E3711">
        <w:rPr>
          <w:rFonts w:ascii="Arial" w:hAnsi="Arial" w:cs="Arial"/>
          <w:sz w:val="28"/>
          <w:szCs w:val="28"/>
        </w:rPr>
        <w:t>. И даже несмотря на кризисный 2009 год, растут объемы строительства. В целом по Приволжскому федеральному округу республика занимает 1 место по объему подрядных работ. Поэтому формирование добавленной стоимости производится не только и не столько предприятиями нефтепереработки и нефтехимии, сколько перечисленными секторами. Подтверждением тому является  досрочное выполнение Программы социально-экономического развития Республики Татарстан на 2006-2010 годы.</w:t>
      </w:r>
    </w:p>
    <w:p w:rsidR="00395E3C" w:rsidRPr="008E3711" w:rsidRDefault="00395E3C" w:rsidP="00127B66">
      <w:pPr>
        <w:spacing w:after="0" w:line="360" w:lineRule="auto"/>
        <w:ind w:left="-540" w:firstLine="709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>По итогам 4 месяцев текущего года</w:t>
      </w:r>
      <w:r>
        <w:rPr>
          <w:rFonts w:ascii="Arial" w:hAnsi="Arial" w:cs="Arial"/>
          <w:color w:val="000000"/>
          <w:szCs w:val="28"/>
        </w:rPr>
        <w:t>,</w:t>
      </w:r>
      <w:r w:rsidRPr="008E3711">
        <w:rPr>
          <w:rFonts w:ascii="Arial" w:hAnsi="Arial" w:cs="Arial"/>
          <w:color w:val="000000"/>
          <w:szCs w:val="28"/>
        </w:rPr>
        <w:t xml:space="preserve"> индекс промышленного производства поднялся на </w:t>
      </w:r>
      <w:r w:rsidRPr="008E3711">
        <w:rPr>
          <w:rFonts w:ascii="Arial" w:hAnsi="Arial" w:cs="Arial"/>
          <w:b/>
          <w:color w:val="000000"/>
          <w:szCs w:val="28"/>
        </w:rPr>
        <w:t>8,6%</w:t>
      </w:r>
      <w:r w:rsidRPr="008E3711">
        <w:rPr>
          <w:rFonts w:ascii="Arial" w:hAnsi="Arial" w:cs="Arial"/>
          <w:color w:val="000000"/>
          <w:szCs w:val="28"/>
        </w:rPr>
        <w:t xml:space="preserve"> (в России – на </w:t>
      </w:r>
      <w:r w:rsidRPr="000C26D4">
        <w:rPr>
          <w:rFonts w:ascii="Arial" w:hAnsi="Arial" w:cs="Arial"/>
          <w:b/>
          <w:color w:val="000000"/>
          <w:szCs w:val="28"/>
        </w:rPr>
        <w:t>6</w:t>
      </w:r>
      <w:r w:rsidRPr="008E3711">
        <w:rPr>
          <w:rFonts w:ascii="Arial" w:hAnsi="Arial" w:cs="Arial"/>
          <w:b/>
          <w:color w:val="000000"/>
          <w:szCs w:val="28"/>
        </w:rPr>
        <w:t>,9%).</w:t>
      </w:r>
      <w:r w:rsidRPr="008E3711">
        <w:rPr>
          <w:rFonts w:ascii="Arial" w:hAnsi="Arial" w:cs="Arial"/>
          <w:color w:val="000000"/>
          <w:szCs w:val="28"/>
        </w:rPr>
        <w:t xml:space="preserve"> Сельское хозяйство выросло на </w:t>
      </w:r>
      <w:r w:rsidRPr="008E3711">
        <w:rPr>
          <w:rFonts w:ascii="Arial" w:hAnsi="Arial" w:cs="Arial"/>
          <w:b/>
          <w:color w:val="000000"/>
          <w:szCs w:val="28"/>
        </w:rPr>
        <w:t>6,0%</w:t>
      </w:r>
      <w:r w:rsidRPr="008E3711">
        <w:rPr>
          <w:rFonts w:ascii="Arial" w:hAnsi="Arial" w:cs="Arial"/>
          <w:color w:val="000000"/>
          <w:szCs w:val="28"/>
        </w:rPr>
        <w:t xml:space="preserve"> (в России – на </w:t>
      </w:r>
      <w:r w:rsidRPr="008E3711">
        <w:rPr>
          <w:rFonts w:ascii="Arial" w:hAnsi="Arial" w:cs="Arial"/>
          <w:b/>
          <w:color w:val="000000"/>
          <w:szCs w:val="28"/>
        </w:rPr>
        <w:t>3,6%).</w:t>
      </w:r>
      <w:r w:rsidRPr="008E3711">
        <w:rPr>
          <w:rFonts w:ascii="Arial" w:hAnsi="Arial" w:cs="Arial"/>
          <w:color w:val="000000"/>
          <w:szCs w:val="28"/>
        </w:rPr>
        <w:t xml:space="preserve"> Объем строительных работ увеличился на </w:t>
      </w:r>
      <w:r w:rsidRPr="008E3711">
        <w:rPr>
          <w:rFonts w:ascii="Arial" w:hAnsi="Arial" w:cs="Arial"/>
          <w:b/>
          <w:color w:val="000000"/>
          <w:szCs w:val="28"/>
        </w:rPr>
        <w:t>4,3%</w:t>
      </w:r>
      <w:r w:rsidRPr="008E3711">
        <w:rPr>
          <w:rFonts w:ascii="Arial" w:hAnsi="Arial" w:cs="Arial"/>
          <w:color w:val="000000"/>
          <w:szCs w:val="28"/>
        </w:rPr>
        <w:t xml:space="preserve"> (в России снизился на </w:t>
      </w:r>
      <w:r w:rsidRPr="000C26D4">
        <w:rPr>
          <w:rFonts w:ascii="Arial" w:hAnsi="Arial" w:cs="Arial"/>
          <w:b/>
          <w:color w:val="000000"/>
          <w:szCs w:val="28"/>
        </w:rPr>
        <w:t>6</w:t>
      </w:r>
      <w:r w:rsidRPr="008E3711">
        <w:rPr>
          <w:rFonts w:ascii="Arial" w:hAnsi="Arial" w:cs="Arial"/>
          <w:b/>
          <w:color w:val="000000"/>
          <w:szCs w:val="28"/>
        </w:rPr>
        <w:t>,2%),</w:t>
      </w:r>
      <w:r w:rsidRPr="008E3711">
        <w:rPr>
          <w:rFonts w:ascii="Arial" w:hAnsi="Arial" w:cs="Arial"/>
          <w:color w:val="000000"/>
          <w:szCs w:val="28"/>
        </w:rPr>
        <w:t xml:space="preserve"> оборот розничной торговли - на </w:t>
      </w:r>
      <w:r w:rsidRPr="000C26D4">
        <w:rPr>
          <w:rFonts w:ascii="Arial" w:hAnsi="Arial" w:cs="Arial"/>
          <w:b/>
          <w:color w:val="000000"/>
          <w:szCs w:val="28"/>
        </w:rPr>
        <w:t>6,6%</w:t>
      </w:r>
      <w:r w:rsidRPr="008E3711">
        <w:rPr>
          <w:rFonts w:ascii="Arial" w:hAnsi="Arial" w:cs="Arial"/>
          <w:color w:val="000000"/>
          <w:szCs w:val="28"/>
        </w:rPr>
        <w:t xml:space="preserve"> (в России – на </w:t>
      </w:r>
      <w:r w:rsidRPr="000C26D4">
        <w:rPr>
          <w:rFonts w:ascii="Arial" w:hAnsi="Arial" w:cs="Arial"/>
          <w:b/>
          <w:color w:val="000000"/>
          <w:szCs w:val="28"/>
        </w:rPr>
        <w:t>2</w:t>
      </w:r>
      <w:r w:rsidRPr="008E3711">
        <w:rPr>
          <w:rFonts w:ascii="Arial" w:hAnsi="Arial" w:cs="Arial"/>
          <w:b/>
          <w:color w:val="000000"/>
          <w:szCs w:val="28"/>
        </w:rPr>
        <w:t>%).</w:t>
      </w:r>
      <w:r w:rsidRPr="008E3711">
        <w:rPr>
          <w:rFonts w:ascii="Arial" w:hAnsi="Arial" w:cs="Arial"/>
          <w:color w:val="000000"/>
          <w:szCs w:val="28"/>
        </w:rPr>
        <w:t xml:space="preserve"> Реальные денежные доходы составили </w:t>
      </w:r>
      <w:r w:rsidRPr="008E3711">
        <w:rPr>
          <w:rFonts w:ascii="Arial" w:hAnsi="Arial" w:cs="Arial"/>
          <w:b/>
          <w:color w:val="000000"/>
          <w:szCs w:val="28"/>
        </w:rPr>
        <w:t>108,2%.</w:t>
      </w:r>
      <w:r w:rsidRPr="008E3711">
        <w:rPr>
          <w:rFonts w:ascii="Arial" w:hAnsi="Arial" w:cs="Arial"/>
          <w:color w:val="000000"/>
          <w:szCs w:val="28"/>
        </w:rPr>
        <w:t xml:space="preserve">  </w:t>
      </w:r>
    </w:p>
    <w:p w:rsidR="00395E3C" w:rsidRPr="008E3711" w:rsidRDefault="00395E3C" w:rsidP="00127B66">
      <w:pPr>
        <w:spacing w:after="0" w:line="360" w:lineRule="auto"/>
        <w:ind w:left="-540" w:firstLine="709"/>
        <w:jc w:val="both"/>
        <w:rPr>
          <w:rFonts w:ascii="Arial" w:hAnsi="Arial" w:cs="Arial"/>
          <w:b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 xml:space="preserve">Приведенные цифры  – совершенно определенный сигнал, свидетельствующий о том, что экономика Татарстана видит и начинает </w:t>
      </w:r>
      <w:r>
        <w:rPr>
          <w:rFonts w:ascii="Arial" w:hAnsi="Arial" w:cs="Arial"/>
          <w:color w:val="000000"/>
          <w:szCs w:val="28"/>
        </w:rPr>
        <w:t xml:space="preserve">активно </w:t>
      </w:r>
      <w:r w:rsidRPr="008E3711">
        <w:rPr>
          <w:rFonts w:ascii="Arial" w:hAnsi="Arial" w:cs="Arial"/>
          <w:color w:val="000000"/>
          <w:szCs w:val="28"/>
        </w:rPr>
        <w:t xml:space="preserve">использовать возможности роста. </w:t>
      </w:r>
    </w:p>
    <w:p w:rsidR="00395E3C" w:rsidRPr="008E3711" w:rsidRDefault="00395E3C" w:rsidP="00F53192">
      <w:pPr>
        <w:widowControl w:val="0"/>
        <w:autoSpaceDE w:val="0"/>
        <w:autoSpaceDN w:val="0"/>
        <w:adjustRightInd w:val="0"/>
        <w:spacing w:after="0" w:line="360" w:lineRule="auto"/>
        <w:ind w:left="-540" w:right="-185" w:firstLine="993"/>
        <w:jc w:val="both"/>
        <w:rPr>
          <w:rFonts w:ascii="Arial" w:hAnsi="Arial" w:cs="Arial"/>
          <w:b/>
          <w:bCs/>
          <w:szCs w:val="28"/>
        </w:rPr>
      </w:pPr>
      <w:r w:rsidRPr="008E3711">
        <w:rPr>
          <w:rFonts w:ascii="Arial" w:hAnsi="Arial" w:cs="Arial"/>
          <w:b/>
          <w:bCs/>
          <w:szCs w:val="28"/>
        </w:rPr>
        <w:t>2. Татарстан - один из чемпионов по технопаркам и бизнес-инкубаторам в нашей стране.  Не могли бы Вы поделиться опытом?</w:t>
      </w:r>
    </w:p>
    <w:p w:rsidR="00395E3C" w:rsidRPr="008E3711" w:rsidRDefault="00395E3C" w:rsidP="00F53192">
      <w:pPr>
        <w:widowControl w:val="0"/>
        <w:autoSpaceDE w:val="0"/>
        <w:autoSpaceDN w:val="0"/>
        <w:adjustRightInd w:val="0"/>
        <w:spacing w:after="0" w:line="360" w:lineRule="auto"/>
        <w:ind w:left="-540" w:right="-185" w:firstLine="993"/>
        <w:jc w:val="both"/>
        <w:rPr>
          <w:rFonts w:ascii="Arial" w:hAnsi="Arial" w:cs="Arial"/>
          <w:bCs/>
          <w:szCs w:val="28"/>
        </w:rPr>
      </w:pPr>
      <w:r w:rsidRPr="008E3711">
        <w:rPr>
          <w:rFonts w:ascii="Arial" w:hAnsi="Arial" w:cs="Arial"/>
          <w:bCs/>
          <w:szCs w:val="28"/>
        </w:rPr>
        <w:t xml:space="preserve">В республике действительно накоплен богатый опыт создания инфраструктуры поддержки предпринимательства: это Технопарк «Идея» (один из первых в стране) и Камский индустриальный парк «Мастер»,  Технополис «Химград» и </w:t>
      </w:r>
      <w:r w:rsidRPr="008E3711">
        <w:rPr>
          <w:rFonts w:ascii="Arial" w:hAnsi="Arial" w:cs="Arial"/>
          <w:bCs/>
          <w:szCs w:val="28"/>
          <w:lang w:val="en-US"/>
        </w:rPr>
        <w:t>IT</w:t>
      </w:r>
      <w:r w:rsidRPr="008E3711">
        <w:rPr>
          <w:rFonts w:ascii="Arial" w:hAnsi="Arial" w:cs="Arial"/>
          <w:bCs/>
          <w:szCs w:val="28"/>
        </w:rPr>
        <w:t xml:space="preserve">-парк. По сути, у нас есть все от Особой экономической зоны до бизнес-инкубаторов. Многие из них работают уже не первый год, и сегодня мы можем судить о результатах. Так, например, объем заявленных инвестиций в ОЭЗ «Алабуга» уже превысил </w:t>
      </w:r>
      <w:r w:rsidRPr="008E3711">
        <w:rPr>
          <w:rFonts w:ascii="Arial" w:hAnsi="Arial" w:cs="Arial"/>
          <w:b/>
          <w:bCs/>
          <w:szCs w:val="28"/>
        </w:rPr>
        <w:t>1</w:t>
      </w:r>
      <w:r w:rsidRPr="008E3711">
        <w:rPr>
          <w:rFonts w:ascii="Arial" w:hAnsi="Arial" w:cs="Arial"/>
          <w:bCs/>
          <w:szCs w:val="28"/>
        </w:rPr>
        <w:t xml:space="preserve"> млрд. долларов США. На </w:t>
      </w:r>
      <w:r w:rsidRPr="008E3711">
        <w:rPr>
          <w:rFonts w:ascii="Arial" w:hAnsi="Arial" w:cs="Arial"/>
          <w:b/>
          <w:bCs/>
          <w:szCs w:val="28"/>
        </w:rPr>
        <w:t>120</w:t>
      </w:r>
      <w:r w:rsidRPr="008E3711">
        <w:rPr>
          <w:rFonts w:ascii="Arial" w:hAnsi="Arial" w:cs="Arial"/>
          <w:bCs/>
          <w:szCs w:val="28"/>
        </w:rPr>
        <w:t xml:space="preserve"> тыс. кв. метров площадей Камского индустриального парка «Мастер» работает порядка </w:t>
      </w:r>
      <w:r w:rsidRPr="008E3711">
        <w:rPr>
          <w:rFonts w:ascii="Arial" w:hAnsi="Arial" w:cs="Arial"/>
          <w:b/>
          <w:bCs/>
          <w:szCs w:val="28"/>
        </w:rPr>
        <w:t>1,5</w:t>
      </w:r>
      <w:r w:rsidRPr="008E3711">
        <w:rPr>
          <w:rFonts w:ascii="Arial" w:hAnsi="Arial" w:cs="Arial"/>
          <w:bCs/>
          <w:szCs w:val="28"/>
        </w:rPr>
        <w:t xml:space="preserve"> тыс. человек. Эти показатели удвоятся с введением в мае 2010 года 3-й очереди индустриального парка. Почти </w:t>
      </w:r>
      <w:r w:rsidRPr="008E3711">
        <w:rPr>
          <w:rFonts w:ascii="Arial" w:hAnsi="Arial" w:cs="Arial"/>
          <w:b/>
          <w:bCs/>
          <w:szCs w:val="28"/>
        </w:rPr>
        <w:t>200</w:t>
      </w:r>
      <w:r w:rsidRPr="008E3711">
        <w:rPr>
          <w:rFonts w:ascii="Arial" w:hAnsi="Arial" w:cs="Arial"/>
          <w:bCs/>
          <w:szCs w:val="28"/>
        </w:rPr>
        <w:t xml:space="preserve"> компаний связанных с нефтехимическим производством  реализуют свои проекты в «Химграде». Более того, мы сохранили неизменным количество рабочих мест и резидентов площадок даже в период экономического кризиса. </w:t>
      </w:r>
    </w:p>
    <w:p w:rsidR="00395E3C" w:rsidRPr="008E3711" w:rsidRDefault="00395E3C" w:rsidP="00F53192">
      <w:pPr>
        <w:widowControl w:val="0"/>
        <w:autoSpaceDE w:val="0"/>
        <w:autoSpaceDN w:val="0"/>
        <w:adjustRightInd w:val="0"/>
        <w:spacing w:after="0" w:line="360" w:lineRule="auto"/>
        <w:ind w:left="-540" w:right="-185" w:firstLine="993"/>
        <w:jc w:val="both"/>
        <w:rPr>
          <w:rFonts w:ascii="Arial" w:hAnsi="Arial" w:cs="Arial"/>
          <w:bCs/>
          <w:szCs w:val="28"/>
        </w:rPr>
      </w:pPr>
      <w:r w:rsidRPr="008E3711">
        <w:rPr>
          <w:rFonts w:ascii="Arial" w:hAnsi="Arial" w:cs="Arial"/>
          <w:bCs/>
          <w:szCs w:val="28"/>
        </w:rPr>
        <w:t xml:space="preserve">Особо хочу отметить – технопарки и инкубаторы в республике развиваются как часть инфраструктуры поддержки бизнеса, в которой также есть грантовые механизмы, субсидирование процентных ставок,  льготные лизинговые программы, венчурные фонды и много другое. Я убежден, что именно использование  всех инструментов в совокупности позволяет нам добиваться значительных результатов.  </w:t>
      </w:r>
    </w:p>
    <w:p w:rsidR="00395E3C" w:rsidRPr="008E3711" w:rsidRDefault="00395E3C" w:rsidP="0029530C">
      <w:pPr>
        <w:widowControl w:val="0"/>
        <w:autoSpaceDE w:val="0"/>
        <w:autoSpaceDN w:val="0"/>
        <w:adjustRightInd w:val="0"/>
        <w:spacing w:after="0" w:line="360" w:lineRule="auto"/>
        <w:ind w:left="-540" w:right="-185" w:firstLine="993"/>
        <w:jc w:val="both"/>
        <w:rPr>
          <w:rFonts w:ascii="Arial" w:hAnsi="Arial" w:cs="Arial"/>
          <w:b/>
          <w:bCs/>
          <w:szCs w:val="28"/>
        </w:rPr>
      </w:pPr>
      <w:r w:rsidRPr="008E3711">
        <w:rPr>
          <w:rFonts w:ascii="Arial" w:hAnsi="Arial" w:cs="Arial"/>
          <w:b/>
          <w:bCs/>
          <w:szCs w:val="28"/>
        </w:rPr>
        <w:t>3. Насколько благоприятный в Татарстане климат для развития  малого и среднего  бизнеса</w:t>
      </w:r>
      <w:r>
        <w:rPr>
          <w:rFonts w:ascii="Arial" w:hAnsi="Arial" w:cs="Arial"/>
          <w:b/>
          <w:bCs/>
          <w:szCs w:val="28"/>
        </w:rPr>
        <w:t>,</w:t>
      </w:r>
      <w:r w:rsidRPr="008E3711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 xml:space="preserve">учитывая, что </w:t>
      </w:r>
      <w:r w:rsidRPr="008E3711">
        <w:rPr>
          <w:rFonts w:ascii="Arial" w:hAnsi="Arial" w:cs="Arial"/>
          <w:b/>
          <w:bCs/>
          <w:szCs w:val="28"/>
        </w:rPr>
        <w:t>основные доходы  республика  получает  от нефтедобычи</w:t>
      </w:r>
      <w:r>
        <w:rPr>
          <w:rFonts w:ascii="Arial" w:hAnsi="Arial" w:cs="Arial"/>
          <w:b/>
          <w:bCs/>
          <w:szCs w:val="28"/>
        </w:rPr>
        <w:t>?</w:t>
      </w:r>
    </w:p>
    <w:p w:rsidR="00395E3C" w:rsidRPr="008E3711" w:rsidRDefault="00395E3C" w:rsidP="0029530C">
      <w:pPr>
        <w:widowControl w:val="0"/>
        <w:autoSpaceDE w:val="0"/>
        <w:autoSpaceDN w:val="0"/>
        <w:adjustRightInd w:val="0"/>
        <w:spacing w:after="0" w:line="360" w:lineRule="auto"/>
        <w:ind w:left="-540" w:right="-185" w:firstLine="993"/>
        <w:jc w:val="both"/>
        <w:rPr>
          <w:rFonts w:ascii="Arial" w:hAnsi="Arial" w:cs="Arial"/>
          <w:bCs/>
          <w:szCs w:val="28"/>
        </w:rPr>
      </w:pPr>
      <w:r w:rsidRPr="008E3711">
        <w:rPr>
          <w:rFonts w:ascii="Arial" w:hAnsi="Arial" w:cs="Arial"/>
          <w:bCs/>
          <w:szCs w:val="28"/>
        </w:rPr>
        <w:t xml:space="preserve"> Конечно, нефтяной сектор - один из наиболее развитых  в республике. Однако сейчас мы делаем акцент именно на нефтехимию, и здесь есть существенные ниши для малого  и среднего бизнеса. Мы поставили серьезную задачу – обеспечить переработку нашими предприятиями </w:t>
      </w:r>
      <w:r w:rsidRPr="008E3711">
        <w:rPr>
          <w:rFonts w:ascii="Arial" w:hAnsi="Arial" w:cs="Arial"/>
          <w:b/>
          <w:bCs/>
          <w:szCs w:val="28"/>
        </w:rPr>
        <w:t>30-</w:t>
      </w:r>
      <w:r w:rsidRPr="008E3711">
        <w:rPr>
          <w:rFonts w:ascii="Arial" w:hAnsi="Arial" w:cs="Arial"/>
          <w:bCs/>
          <w:szCs w:val="28"/>
        </w:rPr>
        <w:t>ти процентов</w:t>
      </w:r>
      <w:r w:rsidRPr="008E3711">
        <w:rPr>
          <w:rFonts w:ascii="Arial" w:hAnsi="Arial" w:cs="Arial"/>
          <w:b/>
          <w:bCs/>
          <w:szCs w:val="28"/>
        </w:rPr>
        <w:t xml:space="preserve"> </w:t>
      </w:r>
      <w:r w:rsidRPr="008E3711">
        <w:rPr>
          <w:rFonts w:ascii="Arial" w:hAnsi="Arial" w:cs="Arial"/>
          <w:bCs/>
          <w:szCs w:val="28"/>
        </w:rPr>
        <w:t>полимерного сырья, производимого в республике. Для реализации этой задачи   создается Технополис «Химград», где размещаются, в основном, компании малой нефтехимии.</w:t>
      </w:r>
    </w:p>
    <w:p w:rsidR="00395E3C" w:rsidRPr="008E3711" w:rsidRDefault="00395E3C" w:rsidP="0029530C">
      <w:pPr>
        <w:widowControl w:val="0"/>
        <w:autoSpaceDE w:val="0"/>
        <w:autoSpaceDN w:val="0"/>
        <w:adjustRightInd w:val="0"/>
        <w:spacing w:after="0" w:line="360" w:lineRule="auto"/>
        <w:ind w:left="-540" w:right="-185" w:firstLine="993"/>
        <w:jc w:val="both"/>
        <w:rPr>
          <w:rFonts w:ascii="Arial" w:hAnsi="Arial" w:cs="Arial"/>
          <w:bCs/>
          <w:szCs w:val="28"/>
        </w:rPr>
      </w:pPr>
      <w:r w:rsidRPr="008E3711">
        <w:rPr>
          <w:rFonts w:ascii="Arial" w:hAnsi="Arial" w:cs="Arial"/>
          <w:bCs/>
          <w:szCs w:val="28"/>
        </w:rPr>
        <w:t xml:space="preserve">Но нефтяной сектор - далеко не единственная «точка роста» нашей экономики.  Мы активно развиваем автомобилестроение, и том числе производство автокомпонентов как  сферу, привлекательную для   малого бизнеса. </w:t>
      </w:r>
    </w:p>
    <w:p w:rsidR="00395E3C" w:rsidRPr="008E3711" w:rsidRDefault="00395E3C" w:rsidP="0029530C">
      <w:pPr>
        <w:widowControl w:val="0"/>
        <w:autoSpaceDE w:val="0"/>
        <w:autoSpaceDN w:val="0"/>
        <w:adjustRightInd w:val="0"/>
        <w:spacing w:after="0" w:line="360" w:lineRule="auto"/>
        <w:ind w:left="-540" w:right="-185" w:firstLine="993"/>
        <w:jc w:val="both"/>
        <w:rPr>
          <w:rFonts w:ascii="Arial" w:hAnsi="Arial" w:cs="Arial"/>
          <w:bCs/>
          <w:szCs w:val="28"/>
        </w:rPr>
      </w:pPr>
      <w:r w:rsidRPr="008E3711">
        <w:rPr>
          <w:rFonts w:ascii="Arial" w:hAnsi="Arial" w:cs="Arial"/>
          <w:bCs/>
          <w:szCs w:val="28"/>
        </w:rPr>
        <w:t xml:space="preserve">Кроме того,  мы  планируем  быстрый рост малых компаний  в области </w:t>
      </w:r>
      <w:r w:rsidRPr="008E3711">
        <w:rPr>
          <w:rFonts w:ascii="Arial" w:hAnsi="Arial" w:cs="Arial"/>
          <w:bCs/>
          <w:szCs w:val="28"/>
          <w:lang w:val="en-US"/>
        </w:rPr>
        <w:t>IT</w:t>
      </w:r>
      <w:r w:rsidRPr="008E3711">
        <w:rPr>
          <w:rFonts w:ascii="Arial" w:hAnsi="Arial" w:cs="Arial"/>
          <w:bCs/>
          <w:szCs w:val="28"/>
        </w:rPr>
        <w:t xml:space="preserve">технологий. В республике есть все для развития высокотехнологичного бизнеса. В этой связи большие надежды мы возлагаем на </w:t>
      </w:r>
      <w:r w:rsidRPr="008E3711">
        <w:rPr>
          <w:rFonts w:ascii="Arial" w:hAnsi="Arial" w:cs="Arial"/>
          <w:bCs/>
          <w:szCs w:val="28"/>
          <w:lang w:val="en-US"/>
        </w:rPr>
        <w:t>IT</w:t>
      </w:r>
      <w:r w:rsidRPr="008E3711">
        <w:rPr>
          <w:rFonts w:ascii="Arial" w:hAnsi="Arial" w:cs="Arial"/>
          <w:bCs/>
          <w:szCs w:val="28"/>
        </w:rPr>
        <w:t>-парк,  построенный недавно по федеральной программе создания  технопарков в сфере высоких технологий, а также на первый в республике современный Дата-центр мощностью 2,5 МВт на 8 тыс. серверов.</w:t>
      </w:r>
    </w:p>
    <w:p w:rsidR="00395E3C" w:rsidRPr="008E3711" w:rsidRDefault="00395E3C" w:rsidP="0029530C">
      <w:pPr>
        <w:widowControl w:val="0"/>
        <w:autoSpaceDE w:val="0"/>
        <w:autoSpaceDN w:val="0"/>
        <w:adjustRightInd w:val="0"/>
        <w:spacing w:after="0" w:line="360" w:lineRule="auto"/>
        <w:ind w:left="-540" w:right="-185" w:firstLine="993"/>
        <w:jc w:val="both"/>
        <w:rPr>
          <w:rFonts w:ascii="Arial" w:hAnsi="Arial" w:cs="Arial"/>
          <w:bCs/>
          <w:szCs w:val="28"/>
        </w:rPr>
      </w:pPr>
      <w:r w:rsidRPr="008E3711">
        <w:rPr>
          <w:rFonts w:ascii="Arial" w:hAnsi="Arial" w:cs="Arial"/>
          <w:bCs/>
          <w:szCs w:val="28"/>
        </w:rPr>
        <w:t xml:space="preserve">Малый бизнес у нас  развивается в самых разных секторах экономики:  в сельском хозяйстве,  в деревообработке, в торговле и сфере услуг. Надо отметить, что принятая нами программа «Жизнь после нефти» не осталась на бумаге. Экономика в последние годы стала более диверсифицированной. </w:t>
      </w:r>
    </w:p>
    <w:p w:rsidR="00395E3C" w:rsidRPr="008E3711" w:rsidRDefault="00395E3C" w:rsidP="0029530C">
      <w:pPr>
        <w:widowControl w:val="0"/>
        <w:autoSpaceDE w:val="0"/>
        <w:autoSpaceDN w:val="0"/>
        <w:adjustRightInd w:val="0"/>
        <w:spacing w:after="0" w:line="360" w:lineRule="auto"/>
        <w:ind w:left="-540" w:right="-185" w:firstLine="993"/>
        <w:jc w:val="both"/>
        <w:rPr>
          <w:rFonts w:ascii="Arial" w:hAnsi="Arial" w:cs="Arial"/>
          <w:bCs/>
          <w:szCs w:val="28"/>
        </w:rPr>
      </w:pPr>
      <w:r w:rsidRPr="008E3711">
        <w:rPr>
          <w:rFonts w:ascii="Arial" w:hAnsi="Arial" w:cs="Arial"/>
          <w:bCs/>
          <w:szCs w:val="28"/>
        </w:rPr>
        <w:t xml:space="preserve">Для поддержки новых малых компаний  существует ряд государственных программ поддержки. Наиболее популярная среди них  - Лизинг-Грант - субсидирование авансовых платежей лизинга оборудования. Это позволяет удешевить схему финансирования и быстрее начать инвестиционный проект. За год создано </w:t>
      </w:r>
      <w:r w:rsidRPr="008E3711">
        <w:rPr>
          <w:rFonts w:ascii="Arial" w:hAnsi="Arial" w:cs="Arial"/>
          <w:b/>
          <w:bCs/>
          <w:szCs w:val="28"/>
        </w:rPr>
        <w:t>738</w:t>
      </w:r>
      <w:r w:rsidRPr="008E3711">
        <w:rPr>
          <w:rFonts w:ascii="Arial" w:hAnsi="Arial" w:cs="Arial"/>
          <w:bCs/>
          <w:szCs w:val="28"/>
        </w:rPr>
        <w:t xml:space="preserve"> новых производств и </w:t>
      </w:r>
      <w:r w:rsidRPr="008E3711">
        <w:rPr>
          <w:rFonts w:ascii="Arial" w:hAnsi="Arial" w:cs="Arial"/>
          <w:b/>
          <w:bCs/>
          <w:szCs w:val="28"/>
        </w:rPr>
        <w:t>4</w:t>
      </w:r>
      <w:r w:rsidRPr="008E3711">
        <w:rPr>
          <w:rFonts w:ascii="Arial" w:hAnsi="Arial" w:cs="Arial"/>
          <w:bCs/>
          <w:szCs w:val="28"/>
        </w:rPr>
        <w:t xml:space="preserve"> тысяч рабочих мест. Общая  стоимость программы -  </w:t>
      </w:r>
      <w:r w:rsidRPr="008E3711">
        <w:rPr>
          <w:rFonts w:ascii="Arial" w:hAnsi="Arial" w:cs="Arial"/>
          <w:b/>
          <w:bCs/>
          <w:szCs w:val="28"/>
        </w:rPr>
        <w:t>316</w:t>
      </w:r>
      <w:r w:rsidRPr="008E3711">
        <w:rPr>
          <w:rFonts w:ascii="Arial" w:hAnsi="Arial" w:cs="Arial"/>
          <w:bCs/>
          <w:szCs w:val="28"/>
        </w:rPr>
        <w:t xml:space="preserve"> млн.рублей. В этом году мы планируем кратно увеличить объем финансовой поддержки по этой программе, </w:t>
      </w:r>
    </w:p>
    <w:p w:rsidR="00395E3C" w:rsidRPr="008E3711" w:rsidRDefault="00395E3C" w:rsidP="0029530C">
      <w:pPr>
        <w:spacing w:after="0" w:line="360" w:lineRule="auto"/>
        <w:ind w:left="-540" w:right="-185" w:firstLine="708"/>
        <w:jc w:val="both"/>
        <w:rPr>
          <w:rFonts w:ascii="Arial" w:hAnsi="Arial" w:cs="Arial"/>
          <w:bCs/>
          <w:szCs w:val="28"/>
        </w:rPr>
      </w:pPr>
      <w:r w:rsidRPr="008E3711">
        <w:rPr>
          <w:rFonts w:ascii="Arial" w:hAnsi="Arial" w:cs="Arial"/>
          <w:bCs/>
          <w:szCs w:val="28"/>
        </w:rPr>
        <w:t xml:space="preserve">Наша основная задача - сделать все возможное для создания бизнесу комфортных условий. Насколько хорошо это у нас получается?!  В качестве объективного аргумента приведу такой пример: по количеству экономически активных субъектов малого и среднего бизнеса Республика Татарстан - в числе  лидеров Поволжского Федерального округа. </w:t>
      </w:r>
    </w:p>
    <w:p w:rsidR="00395E3C" w:rsidRPr="008E3711" w:rsidRDefault="00395E3C" w:rsidP="00883386">
      <w:pPr>
        <w:pStyle w:val="ListParagraph"/>
        <w:spacing w:after="0" w:line="360" w:lineRule="auto"/>
        <w:ind w:left="-54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E3711">
        <w:rPr>
          <w:rFonts w:ascii="Arial" w:hAnsi="Arial" w:cs="Arial"/>
          <w:b/>
          <w:color w:val="000000"/>
          <w:sz w:val="28"/>
          <w:szCs w:val="28"/>
        </w:rPr>
        <w:t xml:space="preserve">        4. Есть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ли </w:t>
      </w:r>
      <w:r w:rsidRPr="008E3711">
        <w:rPr>
          <w:rFonts w:ascii="Arial" w:hAnsi="Arial" w:cs="Arial"/>
          <w:b/>
          <w:color w:val="000000"/>
          <w:sz w:val="28"/>
          <w:szCs w:val="28"/>
        </w:rPr>
        <w:t>у вас  нововведения в госуправлении, которые можно перенести на остальные регионы?</w:t>
      </w:r>
    </w:p>
    <w:p w:rsidR="00395E3C" w:rsidRPr="008E3711" w:rsidRDefault="00395E3C" w:rsidP="00B90DB4">
      <w:pPr>
        <w:pStyle w:val="ListParagraph"/>
        <w:spacing w:after="0" w:line="360" w:lineRule="auto"/>
        <w:ind w:left="-54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3711">
        <w:rPr>
          <w:rFonts w:ascii="Arial" w:hAnsi="Arial" w:cs="Arial"/>
          <w:color w:val="000000"/>
          <w:sz w:val="28"/>
          <w:szCs w:val="28"/>
        </w:rPr>
        <w:t>Вопросы повышения эффективности государственного управления в Республике Татарстан являются доминантой  в административной реформе. В этом контексте республика на сегодня является, пожалуй, единственным регионом страны, где четко определены функции государственного управления.    За  каждую из них определен один центр ответственности и набор показателей и индикаторов оценки эффективности ее выполнения.</w:t>
      </w:r>
    </w:p>
    <w:p w:rsidR="00395E3C" w:rsidRPr="008E3711" w:rsidRDefault="00395E3C" w:rsidP="00B90DB4">
      <w:pPr>
        <w:spacing w:after="0" w:line="360" w:lineRule="auto"/>
        <w:ind w:left="-540" w:firstLine="709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 xml:space="preserve"> На основе этой информации в трехлетнем скользящем режиме органы государственного управления ежегодно формируют Государственный заказ на управление. Основным критерием оценки эффективности всех органов исполнительной власти является качество жизни. Этот индикатор, а также параметры, на основании которых осуществляется расчет его значения, в регламентном режиме собираются органами статистики (к слову сказать, в Республике Татарстан существует своя региональная статистика, работающая в единой методологической базе с федеральной). Для оценки тех показателей, которые характеризуют удовлетворенность уровнем предоставления тех или иных услуг или оценки ситуации в различных секторах жизнедеятельности, используются результаты социологических исследований. </w:t>
      </w:r>
    </w:p>
    <w:p w:rsidR="00395E3C" w:rsidRPr="008E3711" w:rsidRDefault="00395E3C" w:rsidP="00B90DB4">
      <w:pPr>
        <w:spacing w:after="0" w:line="360" w:lineRule="auto"/>
        <w:ind w:left="-540" w:firstLine="709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>В рамках  переданных государственных полномочий с органами местного самоуправления также заключаются соглашения, в которых предусмотрены конкретные индикаторы выполнения этих полномочий.</w:t>
      </w:r>
    </w:p>
    <w:p w:rsidR="00395E3C" w:rsidRPr="008E3711" w:rsidRDefault="00395E3C" w:rsidP="00B90DB4">
      <w:pPr>
        <w:spacing w:after="0" w:line="360" w:lineRule="auto"/>
        <w:ind w:left="-540" w:firstLine="709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>С целью координации деятельности республиканских, территориальных федеральных и муниципальных  органов власти создан Совет глав муниципальных районов и городских округов, а также Координационный совет по вопросам взаимодействия органов исполнительной власти Республики Татарстан, территориальных органов федеральных органов исполнительной власти и органов местного самоуправления в Республике Татарстан. Такая конструкция позволяет оперативно и в целом эффективно решать все вопросы, затрагивающие интересы населения и хозяйствующих субъектов.</w:t>
      </w:r>
    </w:p>
    <w:p w:rsidR="00395E3C" w:rsidRPr="008E3711" w:rsidRDefault="00395E3C" w:rsidP="00B90DB4">
      <w:pPr>
        <w:spacing w:after="0" w:line="360" w:lineRule="auto"/>
        <w:ind w:left="-540" w:firstLine="709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>Особое значение придается вопросам повышения уровня профессионального развития государственных и муниципальных служащих. Разработана и реализуется Концепция непрерывного профессионального развития этой категории работников на основе совместимости образовательных модулей, специфичных для каждого служащего.</w:t>
      </w:r>
    </w:p>
    <w:p w:rsidR="00395E3C" w:rsidRPr="008E3711" w:rsidRDefault="00395E3C" w:rsidP="00B90DB4">
      <w:pPr>
        <w:spacing w:after="0" w:line="360" w:lineRule="auto"/>
        <w:ind w:left="-540" w:firstLine="567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 xml:space="preserve">  Деятельность органов исполнительной власти Республики Татарстан регламентирована. Все административные регламенты предоставления государственных услуг размещены в публичном информационном ресурсе, ведется их сводный реестр.</w:t>
      </w:r>
    </w:p>
    <w:p w:rsidR="00395E3C" w:rsidRPr="008E3711" w:rsidRDefault="00395E3C" w:rsidP="00B90DB4">
      <w:pPr>
        <w:widowControl w:val="0"/>
        <w:autoSpaceDE w:val="0"/>
        <w:autoSpaceDN w:val="0"/>
        <w:adjustRightInd w:val="0"/>
        <w:spacing w:after="0" w:line="360" w:lineRule="auto"/>
        <w:ind w:left="-540" w:right="-2" w:firstLine="993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 xml:space="preserve">В целом  информационные технологии стали существенным элементом управленческой культуры, чему способствовала реализация в республике с 2005 года программы  «Электронное Правительство». Её внедрение позволило не только оптимизировать документооборот, но и повысить эффективность подготовки информационных и аналитических материалов, что, в свою очередь, создает основу для  принимаемых управленческих решений. </w:t>
      </w:r>
    </w:p>
    <w:p w:rsidR="00395E3C" w:rsidRPr="008E3711" w:rsidRDefault="00395E3C" w:rsidP="00B90DB4">
      <w:pPr>
        <w:widowControl w:val="0"/>
        <w:autoSpaceDE w:val="0"/>
        <w:autoSpaceDN w:val="0"/>
        <w:adjustRightInd w:val="0"/>
        <w:spacing w:after="0" w:line="360" w:lineRule="auto"/>
        <w:ind w:left="-540" w:right="-2" w:firstLine="993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 xml:space="preserve">В электронную форму переводятся государственные и муниципальные услуги, предоставляемые юридическим и физическим лицам. Сегодня осуществлен перевод в электронную форму наиболее распространенных видов предоставляемых гражданам услуг. Так, в электронном виде оформляются загранпаспорта, делаются выписки из кадастра недвижимости, с лицевых счетов пенсионного фонда, справки о задолженности физических лиц по налогам, штрафы  ГИБДД и ряд других услуг. </w:t>
      </w:r>
    </w:p>
    <w:p w:rsidR="00395E3C" w:rsidRPr="008E3711" w:rsidRDefault="00395E3C" w:rsidP="00B90DB4">
      <w:pPr>
        <w:spacing w:after="0" w:line="360" w:lineRule="auto"/>
        <w:ind w:left="-540" w:firstLine="567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>С целью оптимизации объема информационных потоков в течение уже более чем десяти лет  ведется единый электронный информационный ресурс, который является источником информации для республиканских министерств, ведомств, органов местного самоуправления и других категорий пользователей. Это позволило исключить дублирование информационных потоков и, соответственно, повысить эффективность работы субъектов, являющихся потребителями этой информации.</w:t>
      </w:r>
    </w:p>
    <w:p w:rsidR="00395E3C" w:rsidRPr="008E3711" w:rsidRDefault="00395E3C" w:rsidP="00B90DB4">
      <w:pPr>
        <w:spacing w:after="0" w:line="360" w:lineRule="auto"/>
        <w:ind w:left="-540" w:firstLine="567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 xml:space="preserve"> Большая работа проведена по методическому обеспечению процесса функционального анализа (оценки эффективности деятельности органов исполнительной власти) и осуществляется   ежегодно, являясь основой интегральной оценки деятельности управленцев этих органов.</w:t>
      </w:r>
    </w:p>
    <w:p w:rsidR="00395E3C" w:rsidRPr="008E3711" w:rsidRDefault="00395E3C" w:rsidP="00B90DB4">
      <w:pPr>
        <w:spacing w:after="0" w:line="360" w:lineRule="auto"/>
        <w:ind w:left="-540" w:firstLine="567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 xml:space="preserve">  В рамках применения названной методической базы наработан значительный практический опыт, позволяющий выходить на оценку производительности труда подразделений министерств и их работников.</w:t>
      </w:r>
    </w:p>
    <w:p w:rsidR="00395E3C" w:rsidRPr="008E3711" w:rsidRDefault="00395E3C" w:rsidP="00B90DB4">
      <w:pPr>
        <w:spacing w:after="0" w:line="360" w:lineRule="auto"/>
        <w:ind w:left="-540" w:firstLine="567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 xml:space="preserve">  Разработан Стандарт структуры центральных аппаратов органов исполнительной власти.</w:t>
      </w:r>
    </w:p>
    <w:p w:rsidR="00395E3C" w:rsidRPr="008E3711" w:rsidRDefault="00395E3C" w:rsidP="00B90DB4">
      <w:pPr>
        <w:spacing w:after="0" w:line="360" w:lineRule="auto"/>
        <w:ind w:left="-540" w:firstLine="567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 xml:space="preserve">   Развивается сеть многофункциональных центров предоставления государственных и муниципальных услуг. Наиболее интересным элементом в этой сфере является предоставление услуг в электронной форме, а также создание фронт - офисов этих центров на базе сельских почтовых отделений.</w:t>
      </w:r>
    </w:p>
    <w:p w:rsidR="00395E3C" w:rsidRPr="008E3711" w:rsidRDefault="00395E3C" w:rsidP="00B90DB4">
      <w:pPr>
        <w:spacing w:after="0" w:line="360" w:lineRule="auto"/>
        <w:ind w:left="-540" w:firstLine="567"/>
        <w:jc w:val="both"/>
        <w:rPr>
          <w:rFonts w:ascii="Arial" w:hAnsi="Arial" w:cs="Arial"/>
          <w:color w:val="000000"/>
          <w:szCs w:val="28"/>
        </w:rPr>
      </w:pPr>
      <w:r w:rsidRPr="008E3711">
        <w:rPr>
          <w:rFonts w:ascii="Arial" w:hAnsi="Arial" w:cs="Arial"/>
          <w:color w:val="000000"/>
          <w:szCs w:val="28"/>
        </w:rPr>
        <w:t xml:space="preserve">   Выполнено также много другой специфичной работы. Однако перечисленные выше результаты, безусловно, являются инвариантными для применения в других регионах страны.</w:t>
      </w:r>
    </w:p>
    <w:p w:rsidR="00395E3C" w:rsidRPr="00A116B2" w:rsidRDefault="00395E3C" w:rsidP="00B90DB4">
      <w:pPr>
        <w:spacing w:after="0" w:line="360" w:lineRule="auto"/>
        <w:ind w:left="-540" w:firstLine="567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395E3C" w:rsidRPr="006D2164" w:rsidRDefault="00395E3C" w:rsidP="004A1216">
      <w:pPr>
        <w:spacing w:after="0" w:line="360" w:lineRule="auto"/>
        <w:ind w:left="-540" w:right="-185"/>
        <w:rPr>
          <w:rFonts w:ascii="Arial" w:hAnsi="Arial" w:cs="Arial"/>
          <w:b/>
          <w:sz w:val="24"/>
          <w:szCs w:val="24"/>
        </w:rPr>
      </w:pPr>
      <w:r w:rsidRPr="006D2164">
        <w:rPr>
          <w:color w:val="000000"/>
          <w:sz w:val="32"/>
          <w:szCs w:val="32"/>
        </w:rPr>
        <w:t xml:space="preserve">      </w:t>
      </w:r>
      <w:r>
        <w:rPr>
          <w:color w:val="000000"/>
          <w:sz w:val="32"/>
          <w:szCs w:val="32"/>
        </w:rPr>
        <w:t xml:space="preserve">              </w:t>
      </w:r>
      <w:r w:rsidRPr="006D2164">
        <w:rPr>
          <w:rFonts w:ascii="Arial" w:hAnsi="Arial" w:cs="Arial"/>
          <w:b/>
          <w:color w:val="000000"/>
          <w:sz w:val="24"/>
          <w:szCs w:val="24"/>
        </w:rPr>
        <w:t>Опубликовано:</w:t>
      </w:r>
    </w:p>
    <w:p w:rsidR="00395E3C" w:rsidRPr="006D2164" w:rsidRDefault="00395E3C" w:rsidP="004A1216">
      <w:pPr>
        <w:spacing w:after="0" w:line="360" w:lineRule="auto"/>
        <w:ind w:left="-180" w:right="-185"/>
        <w:jc w:val="center"/>
        <w:rPr>
          <w:b/>
          <w:sz w:val="32"/>
          <w:szCs w:val="32"/>
        </w:rPr>
      </w:pPr>
      <w:r w:rsidRPr="006D2164">
        <w:rPr>
          <w:rFonts w:ascii="Arial" w:hAnsi="Arial" w:cs="Arial"/>
          <w:b/>
          <w:sz w:val="24"/>
          <w:szCs w:val="24"/>
        </w:rPr>
        <w:t>Журнал «Моя Империя»  (Республика Чувашия» ) № 4 ,2010</w:t>
      </w:r>
      <w:r w:rsidRPr="006D2164">
        <w:rPr>
          <w:b/>
          <w:sz w:val="32"/>
          <w:szCs w:val="32"/>
        </w:rPr>
        <w:t xml:space="preserve">    </w:t>
      </w:r>
    </w:p>
    <w:p w:rsidR="00395E3C" w:rsidRPr="00A116B2" w:rsidRDefault="00395E3C" w:rsidP="00B90DB4">
      <w:pPr>
        <w:spacing w:after="0" w:line="360" w:lineRule="auto"/>
        <w:ind w:left="-540" w:firstLine="709"/>
        <w:jc w:val="both"/>
        <w:rPr>
          <w:rFonts w:ascii="Arial" w:hAnsi="Arial" w:cs="Arial"/>
          <w:color w:val="000000"/>
          <w:sz w:val="32"/>
          <w:szCs w:val="32"/>
        </w:rPr>
      </w:pPr>
    </w:p>
    <w:sectPr w:rsidR="00395E3C" w:rsidRPr="00A116B2" w:rsidSect="00F5319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E3C" w:rsidRDefault="00395E3C">
      <w:r>
        <w:separator/>
      </w:r>
    </w:p>
  </w:endnote>
  <w:endnote w:type="continuationSeparator" w:id="1">
    <w:p w:rsidR="00395E3C" w:rsidRDefault="00395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E3C" w:rsidRDefault="00395E3C" w:rsidP="00F531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5E3C" w:rsidRDefault="00395E3C" w:rsidP="00F5319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E3C" w:rsidRDefault="00395E3C" w:rsidP="00F531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395E3C" w:rsidRDefault="00395E3C" w:rsidP="00F5319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E3C" w:rsidRDefault="00395E3C">
      <w:r>
        <w:separator/>
      </w:r>
    </w:p>
  </w:footnote>
  <w:footnote w:type="continuationSeparator" w:id="1">
    <w:p w:rsidR="00395E3C" w:rsidRDefault="00395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C94"/>
    <w:multiLevelType w:val="hybridMultilevel"/>
    <w:tmpl w:val="95C657B8"/>
    <w:lvl w:ilvl="0" w:tplc="9BB2A7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A44132F"/>
    <w:multiLevelType w:val="hybridMultilevel"/>
    <w:tmpl w:val="F81E415A"/>
    <w:lvl w:ilvl="0" w:tplc="ED660B9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AFF2C16"/>
    <w:multiLevelType w:val="hybridMultilevel"/>
    <w:tmpl w:val="1240A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0A2D59"/>
    <w:multiLevelType w:val="hybridMultilevel"/>
    <w:tmpl w:val="08E6E3EE"/>
    <w:lvl w:ilvl="0" w:tplc="15166EDA">
      <w:start w:val="6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>
    <w:nsid w:val="390F46EA"/>
    <w:multiLevelType w:val="hybridMultilevel"/>
    <w:tmpl w:val="A8FC4FF0"/>
    <w:lvl w:ilvl="0" w:tplc="ACD021A2">
      <w:start w:val="5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>
    <w:nsid w:val="686404B7"/>
    <w:multiLevelType w:val="hybridMultilevel"/>
    <w:tmpl w:val="F3940104"/>
    <w:lvl w:ilvl="0" w:tplc="569ACEA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E6A"/>
    <w:rsid w:val="00011698"/>
    <w:rsid w:val="00012150"/>
    <w:rsid w:val="00022745"/>
    <w:rsid w:val="0003071A"/>
    <w:rsid w:val="00097047"/>
    <w:rsid w:val="000A325C"/>
    <w:rsid w:val="000C26D4"/>
    <w:rsid w:val="0010345D"/>
    <w:rsid w:val="00113220"/>
    <w:rsid w:val="00126C97"/>
    <w:rsid w:val="00127B66"/>
    <w:rsid w:val="0023748B"/>
    <w:rsid w:val="00240FEC"/>
    <w:rsid w:val="00254C73"/>
    <w:rsid w:val="0029530C"/>
    <w:rsid w:val="00305FAA"/>
    <w:rsid w:val="00351B1E"/>
    <w:rsid w:val="003715FD"/>
    <w:rsid w:val="0037698A"/>
    <w:rsid w:val="003949F0"/>
    <w:rsid w:val="00395E3C"/>
    <w:rsid w:val="003A1638"/>
    <w:rsid w:val="003B4B87"/>
    <w:rsid w:val="003C2414"/>
    <w:rsid w:val="003C27E2"/>
    <w:rsid w:val="004227E6"/>
    <w:rsid w:val="00423782"/>
    <w:rsid w:val="00463096"/>
    <w:rsid w:val="004677BE"/>
    <w:rsid w:val="004A1216"/>
    <w:rsid w:val="004B6B1F"/>
    <w:rsid w:val="0055485C"/>
    <w:rsid w:val="00597119"/>
    <w:rsid w:val="005B2B92"/>
    <w:rsid w:val="005B530C"/>
    <w:rsid w:val="00642E6A"/>
    <w:rsid w:val="00656067"/>
    <w:rsid w:val="006978BC"/>
    <w:rsid w:val="006D2164"/>
    <w:rsid w:val="006F15C9"/>
    <w:rsid w:val="006F4F95"/>
    <w:rsid w:val="00713D58"/>
    <w:rsid w:val="00771293"/>
    <w:rsid w:val="00791847"/>
    <w:rsid w:val="00796EE7"/>
    <w:rsid w:val="007C6821"/>
    <w:rsid w:val="00825B6A"/>
    <w:rsid w:val="00831302"/>
    <w:rsid w:val="00877678"/>
    <w:rsid w:val="008809E2"/>
    <w:rsid w:val="00883386"/>
    <w:rsid w:val="008B5D67"/>
    <w:rsid w:val="008C3ECB"/>
    <w:rsid w:val="008D3471"/>
    <w:rsid w:val="008E3711"/>
    <w:rsid w:val="00911937"/>
    <w:rsid w:val="009276AC"/>
    <w:rsid w:val="0094132D"/>
    <w:rsid w:val="00947900"/>
    <w:rsid w:val="00967FC1"/>
    <w:rsid w:val="00971CD7"/>
    <w:rsid w:val="009E04B8"/>
    <w:rsid w:val="009F41D4"/>
    <w:rsid w:val="00A04C57"/>
    <w:rsid w:val="00A116B2"/>
    <w:rsid w:val="00A255F8"/>
    <w:rsid w:val="00A515FC"/>
    <w:rsid w:val="00A83B99"/>
    <w:rsid w:val="00B07701"/>
    <w:rsid w:val="00B517AF"/>
    <w:rsid w:val="00B90DB4"/>
    <w:rsid w:val="00B9783E"/>
    <w:rsid w:val="00BE764F"/>
    <w:rsid w:val="00C35782"/>
    <w:rsid w:val="00C635DD"/>
    <w:rsid w:val="00C638A9"/>
    <w:rsid w:val="00C67C1B"/>
    <w:rsid w:val="00CA1480"/>
    <w:rsid w:val="00D01AA1"/>
    <w:rsid w:val="00D04AB9"/>
    <w:rsid w:val="00D06B8C"/>
    <w:rsid w:val="00D47AF1"/>
    <w:rsid w:val="00D50662"/>
    <w:rsid w:val="00DE3D0F"/>
    <w:rsid w:val="00DF2836"/>
    <w:rsid w:val="00DF3A9D"/>
    <w:rsid w:val="00F41A14"/>
    <w:rsid w:val="00F53192"/>
    <w:rsid w:val="00F957E9"/>
    <w:rsid w:val="00FA074C"/>
    <w:rsid w:val="00FD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6A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2E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B90DB4"/>
    <w:pPr>
      <w:ind w:left="720"/>
      <w:contextualSpacing/>
    </w:pPr>
    <w:rPr>
      <w:rFonts w:ascii="Calibri" w:hAnsi="Calibri"/>
      <w:sz w:val="22"/>
    </w:rPr>
  </w:style>
  <w:style w:type="paragraph" w:customStyle="1" w:styleId="Style2">
    <w:name w:val="Style2"/>
    <w:basedOn w:val="Normal"/>
    <w:uiPriority w:val="99"/>
    <w:rsid w:val="00B90DB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5319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1638"/>
    <w:rPr>
      <w:rFonts w:ascii="Times New Roman" w:hAnsi="Times New Roman" w:cs="Times New Roman"/>
      <w:sz w:val="28"/>
      <w:lang w:eastAsia="en-US"/>
    </w:rPr>
  </w:style>
  <w:style w:type="character" w:styleId="PageNumber">
    <w:name w:val="page number"/>
    <w:basedOn w:val="DefaultParagraphFont"/>
    <w:uiPriority w:val="99"/>
    <w:rsid w:val="00F531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7</Pages>
  <Words>1720</Words>
  <Characters>9807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высоких технологий давно продвигается Казанью</dc:title>
  <dc:subject/>
  <dc:creator>Olga</dc:creator>
  <cp:keywords/>
  <dc:description/>
  <cp:lastModifiedBy>akm</cp:lastModifiedBy>
  <cp:revision>7</cp:revision>
  <cp:lastPrinted>2010-05-31T06:09:00Z</cp:lastPrinted>
  <dcterms:created xsi:type="dcterms:W3CDTF">2010-08-17T05:40:00Z</dcterms:created>
  <dcterms:modified xsi:type="dcterms:W3CDTF">2010-08-17T12:13:00Z</dcterms:modified>
</cp:coreProperties>
</file>