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 утверждении нормативных затрат на реализацию программ подготовки специалистов среднего звена и нормативных затрат на обеспечение студентов жилыми помещениями, содержание детей в государственных профессиональных образовательных организациях Республики Тат</w:t>
      </w:r>
      <w:r>
        <w:rPr>
          <w:bCs/>
          <w:sz w:val="28"/>
          <w:szCs w:val="28"/>
        </w:rPr>
        <w:t xml:space="preserve">арстан, используемых при формировании государственного задания,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64</cp:revision>
  <dcterms:created xsi:type="dcterms:W3CDTF">2020-12-19T12:13:00Z</dcterms:created>
  <dcterms:modified xsi:type="dcterms:W3CDTF">2026-08-28T05:16:55Z</dcterms:modified>
</cp:coreProperties>
</file>