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Об установлении нормативов для формирования стипендиального фонда за счет бюджетных ассигнований бюджета Республики Татарстан и стоимости дневного рациона питания обучающихся профессиональных образовательных организаций и образовательных организаций высшего</w:t>
      </w:r>
      <w:r>
        <w:rPr>
          <w:bCs/>
          <w:sz w:val="28"/>
          <w:szCs w:val="28"/>
        </w:rPr>
        <w:t xml:space="preserve"> образования, получающих образование за счет средств бюджета Республики Татарстан, на 2027 год и на плановый период 2028 и 2029 годов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937" w:customStyle="1">
    <w:name w:val="StGen0"/>
    <w:link w:val="935"/>
    <w:pPr>
      <w:pBdr/>
      <w:spacing/>
      <w:ind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57</cp:revision>
  <dcterms:created xsi:type="dcterms:W3CDTF">2020-12-19T12:13:00Z</dcterms:created>
  <dcterms:modified xsi:type="dcterms:W3CDTF">2026-08-03T09:37:11Z</dcterms:modified>
</cp:coreProperties>
</file>