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Приложение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Порядку размещения проектов нормативных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правовых актов органов государственной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власти Республики Татарстан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информационном ресурсе для размещения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Татарстан в целях проведения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их независимой антикоррупционной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экспертизы и общественного обсуждения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(http://tatarstan.ru/regulation)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Сводная информация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независимой антикоррупционной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экспертизы и (или) общественного обсуждения проекта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 xml:space="preserve">закона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</w:p>
    <w:p>
      <w:pPr>
        <w:jc w:val="both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(вид нормативного правового акта с указанием органа государственной власти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jc w:val="both"/>
        <w:spacing w:line="240" w:lineRule="auto"/>
        <w:rPr>
          <w:rFonts w:ascii="Courier New" w:hAnsi="Courier New" w:cs="Courier New"/>
          <w:sz w:val="20"/>
          <w:szCs w:val="20"/>
          <w:highlight w:val="none"/>
        </w:rPr>
      </w:pPr>
      <w:r/>
      <w:bookmarkStart w:id="0" w:name="_GoBack"/>
      <w:r/>
      <w:bookmarkEnd w:id="0"/>
      <w:r>
        <w:rPr>
          <w:rFonts w:ascii="Courier New" w:hAnsi="Courier New" w:cs="Courier New"/>
          <w:sz w:val="20"/>
          <w:szCs w:val="20"/>
        </w:rPr>
        <w:t xml:space="preserve">           Республики Татарстан, уполномоченного на его издание,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  <w:highlight w:val="none"/>
        </w:rPr>
      </w:r>
    </w:p>
    <w:p>
      <w:pPr>
        <w:jc w:val="both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«О внесении изменения в статью 3 Закона Республики Татарстан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«Об установлении налоговой ставки по налогу на прибыль организаций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для организаций – участников специальных инвестиционных контрактов»</w:t>
      </w:r>
      <w:r/>
      <w:r>
        <w:rPr>
          <w:rFonts w:ascii="Courier New" w:hAnsi="Courier New" w:cs="Courier New"/>
          <w:sz w:val="20"/>
          <w:szCs w:val="20"/>
          <w:highlight w:val="none"/>
        </w:rPr>
      </w:r>
      <w:r>
        <w:rPr>
          <w:rFonts w:ascii="Courier New" w:hAnsi="Courier New" w:cs="Courier New"/>
          <w:sz w:val="20"/>
          <w:szCs w:val="20"/>
          <w:highlight w:val="none"/>
        </w:rPr>
      </w:r>
    </w:p>
    <w:p>
      <w:pPr>
        <w:jc w:val="both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наименование проекта нормативного правового акта)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-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67"/>
        <w:gridCol w:w="2644"/>
        <w:gridCol w:w="2778"/>
        <w:gridCol w:w="1814"/>
        <w:gridCol w:w="2162"/>
      </w:tblGrid>
      <w:tr>
        <w:tblPrEx/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Независимая антикоррупционная экспертиза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п/п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4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Эксперт (Ф.И.О. (последнее - при наличии)/реквизиты распоряжения об аккредитации)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коррупциогенный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Комментарии разработчика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4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Общественное обсуждение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п/п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4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обсуждения (Ф.И.О.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(последнее - при наличии)/адрес электронной почты)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Позиция участника обсуждения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Комментарии разработчика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поступивших предложений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6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учтенных предложений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6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частично учтенных предложений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6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неучтенных предложений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6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sectPr>
      <w:footnotePr/>
      <w:endnotePr/>
      <w:type w:val="nextPage"/>
      <w:pgSz w:w="11905" w:h="16838" w:orient="portrait"/>
      <w:pgMar w:top="1134" w:right="567" w:bottom="1134" w:left="1134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Гузель Рафгатовна</dc:creator>
  <cp:keywords/>
  <dc:description/>
  <cp:revision>10</cp:revision>
  <dcterms:created xsi:type="dcterms:W3CDTF">2024-07-26T08:20:00Z</dcterms:created>
  <dcterms:modified xsi:type="dcterms:W3CDTF">2026-07-15T06:33:45Z</dcterms:modified>
</cp:coreProperties>
</file>