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количество койко-дней и койко-мест в организациях социального обслуживания, находящихся в ведении Республики Татарстан, со стационарной форой социального обслуживания, осуществляющих свою деятельность на территории муниципальных образ</w:t>
      </w:r>
      <w:r>
        <w:rPr>
          <w:bCs/>
          <w:sz w:val="28"/>
          <w:szCs w:val="28"/>
        </w:rPr>
        <w:t xml:space="preserve">ований (городских округов), на 2026 год и на плановый период 2027 и 2028 годов, утвержденное постановлением Кабинета Министров Республики Татарстан от 25.09.2025 №752 «Об утверждении нормативных затрат организаций социального обслуживания Республики Татарст</w:t>
      </w:r>
      <w:r>
        <w:rPr>
          <w:bCs/>
          <w:sz w:val="28"/>
          <w:szCs w:val="28"/>
        </w:rPr>
        <w:t xml:space="preserve">ан на 2026 год и на плановый период 2027 и 2028 годов»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54</cp:revision>
  <dcterms:created xsi:type="dcterms:W3CDTF">2020-12-19T12:13:00Z</dcterms:created>
  <dcterms:modified xsi:type="dcterms:W3CDTF">2026-04-30T07:03:23Z</dcterms:modified>
</cp:coreProperties>
</file>