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 внесении изменения в нормативные затраты на государственные услуги, оказываемые отдельными государственными учреждениями социокультурной сферы Республики Татарстан, на 2026 год и на плановый период 2027 и 2028 годов, утвержденные постановлением Кабинета М</w:t>
      </w:r>
      <w:r>
        <w:rPr>
          <w:bCs/>
          <w:sz w:val="28"/>
          <w:szCs w:val="28"/>
        </w:rPr>
        <w:t xml:space="preserve">инистров Республики Татарстан от 25.09.2025 № 755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2026 год и на плановый </w:t>
      </w:r>
      <w:r>
        <w:rPr>
          <w:bCs/>
          <w:sz w:val="28"/>
          <w:szCs w:val="28"/>
        </w:rPr>
        <w:t xml:space="preserve">период 2027 и 2028 годов»</w:t>
      </w:r>
      <w:r>
        <w:rPr>
          <w:bCs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6E8853A1-3AFB-4900-AA65-FB69E55C403D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53</cp:revision>
  <dcterms:created xsi:type="dcterms:W3CDTF">2020-12-19T12:13:00Z</dcterms:created>
  <dcterms:modified xsi:type="dcterms:W3CDTF">2026-04-28T06:06:01Z</dcterms:modified>
</cp:coreProperties>
</file>