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B0D" w:rsidRDefault="00F01742">
      <w:pPr>
        <w:pStyle w:val="1"/>
        <w:rPr>
          <w:color w:val="auto"/>
        </w:rPr>
      </w:pPr>
      <w:r>
        <w:rPr>
          <w:color w:val="auto"/>
        </w:rPr>
        <w:t>Сводная информация</w:t>
      </w:r>
      <w:r>
        <w:rPr>
          <w:color w:val="auto"/>
        </w:rPr>
        <w:br/>
        <w:t xml:space="preserve">по итогам независимой антикоррупционной экспертизы и (или) общественного обсуждения </w:t>
      </w:r>
      <w:r w:rsidRPr="00F01742">
        <w:rPr>
          <w:color w:val="auto"/>
        </w:rPr>
        <w:t>проекта</w:t>
      </w:r>
    </w:p>
    <w:p w:rsidR="00F01742" w:rsidRPr="00F01742" w:rsidRDefault="00F01742" w:rsidP="00F01742"/>
    <w:p w:rsidR="00C30B0D" w:rsidRDefault="00F01742" w:rsidP="0031762D">
      <w:proofErr w:type="gramStart"/>
      <w:r w:rsidRPr="00F01742">
        <w:t xml:space="preserve">Проект постановления </w:t>
      </w:r>
      <w:r w:rsidR="007A61AA" w:rsidRPr="007A61AA">
        <w:t>Кабинета Министров Республики Татарстан «</w:t>
      </w:r>
      <w:r w:rsidR="0031762D" w:rsidRPr="0031762D">
        <w:t>Об утверждении Порядка определения объема и условий предоставления государственному бюджетному  учреждению дополнительного образования «Республиканский центр внешкольной работы», в отношении которого Министерство образования и науки Республики Татарстан  осуществляет функции и полномочия учредителя, субсидии из бюджета Республики Татарстан на обеспечение реализации пунктов 1.1.3., 1.1.5., 3.2. подпрограммы «Патриотическое воспитание молодежи Республики Татарстан на 2019 – 2025 годы» государственной</w:t>
      </w:r>
      <w:proofErr w:type="gramEnd"/>
      <w:r w:rsidR="0031762D" w:rsidRPr="0031762D">
        <w:t xml:space="preserve"> программы «Развитие молодежной политики в республике Татарстан на 2019 – 2025 годы», утвержденной постановлением Кабинета Министров Республики Татарстан от 05.03.2019 № 158 «Об утверждении государственной программы «Развитие молодежной политики в Республике Татарстан на 2019 – 2025 годы», в соответствии с абзацем вторым пункта 1 статьи 781 Бюджетного </w:t>
      </w:r>
      <w:r w:rsidR="0031762D">
        <w:t>кодекса Российской Федерации</w:t>
      </w:r>
      <w:bookmarkStart w:id="0" w:name="_GoBack"/>
      <w:bookmarkEnd w:id="0"/>
      <w:r w:rsidR="007A61AA" w:rsidRPr="007A61AA">
        <w:t>»</w:t>
      </w:r>
    </w:p>
    <w:tbl>
      <w:tblPr>
        <w:tblW w:w="1022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5"/>
        <w:gridCol w:w="3119"/>
        <w:gridCol w:w="3544"/>
        <w:gridCol w:w="1492"/>
        <w:gridCol w:w="1341"/>
      </w:tblGrid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Независимая антикоррупционная экспертиза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Эксперт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</w:pPr>
            <w:r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C30B0D">
            <w:pPr>
              <w:pStyle w:val="ad"/>
            </w:pPr>
          </w:p>
        </w:tc>
      </w:tr>
      <w:tr w:rsidR="00C30B0D" w:rsidTr="00F01742">
        <w:tc>
          <w:tcPr>
            <w:tcW w:w="102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Общественное обсуждение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N</w:t>
            </w:r>
          </w:p>
          <w:p w:rsidR="00C30B0D" w:rsidRDefault="00F01742">
            <w:pPr>
              <w:pStyle w:val="ad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Участник обсуждения</w:t>
            </w:r>
          </w:p>
          <w:p w:rsidR="00C30B0D" w:rsidRDefault="00F01742">
            <w:pPr>
              <w:pStyle w:val="ad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Позиция участника обсуждения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0B0D" w:rsidRDefault="00F01742">
            <w:pPr>
              <w:pStyle w:val="ad"/>
              <w:jc w:val="center"/>
            </w:pPr>
            <w:r>
              <w:t>Комментарии</w:t>
            </w:r>
          </w:p>
          <w:p w:rsidR="00C30B0D" w:rsidRDefault="00F01742">
            <w:pPr>
              <w:pStyle w:val="ad"/>
              <w:jc w:val="center"/>
            </w:pPr>
            <w:r>
              <w:t>разработчика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-</w:t>
            </w: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  <w:tc>
          <w:tcPr>
            <w:tcW w:w="2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C30B0D">
            <w:pPr>
              <w:pStyle w:val="ad"/>
            </w:pP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  <w:tr w:rsidR="00C30B0D" w:rsidTr="00F01742">
        <w:tc>
          <w:tcPr>
            <w:tcW w:w="8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f"/>
            </w:pPr>
            <w:r w:rsidRPr="00F01742"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0B0D" w:rsidRPr="00F01742" w:rsidRDefault="00F01742">
            <w:pPr>
              <w:pStyle w:val="ad"/>
            </w:pPr>
            <w:r w:rsidRPr="00F01742">
              <w:t>0</w:t>
            </w:r>
          </w:p>
        </w:tc>
      </w:tr>
    </w:tbl>
    <w:p w:rsidR="00C30B0D" w:rsidRDefault="00C30B0D"/>
    <w:p w:rsidR="00C30B0D" w:rsidRDefault="00C30B0D"/>
    <w:sectPr w:rsidR="00C30B0D">
      <w:pgSz w:w="11906" w:h="16800"/>
      <w:pgMar w:top="1440" w:right="800" w:bottom="1440" w:left="80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C30B0D"/>
    <w:rsid w:val="0031762D"/>
    <w:rsid w:val="00362ABE"/>
    <w:rsid w:val="007A61AA"/>
    <w:rsid w:val="007F5921"/>
    <w:rsid w:val="00903FC0"/>
    <w:rsid w:val="00C30B0D"/>
    <w:rsid w:val="00F0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ind w:firstLine="720"/>
      <w:jc w:val="both"/>
    </w:pPr>
    <w:rPr>
      <w:rFonts w:ascii="Times New Roman CYR" w:eastAsia="Times New Roman" w:hAnsi="Times New Roman CYR" w:cs="Times New Roman CYR"/>
      <w:lang w:eastAsia="ru-RU" w:bidi="ar-SA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3">
    <w:name w:val="Цветовое выделение"/>
    <w:qFormat/>
    <w:rPr>
      <w:b/>
      <w:color w:val="26282F"/>
    </w:rPr>
  </w:style>
  <w:style w:type="character" w:customStyle="1" w:styleId="a4">
    <w:name w:val="Гипертекстовая ссылка"/>
    <w:basedOn w:val="a3"/>
    <w:qFormat/>
    <w:rPr>
      <w:rFonts w:ascii="Times New Roman" w:eastAsia="Times New Roman" w:hAnsi="Times New Roman" w:cs="Times New Roman"/>
      <w:b w:val="0"/>
      <w:color w:val="106BBE"/>
      <w:sz w:val="24"/>
      <w:szCs w:val="24"/>
    </w:rPr>
  </w:style>
  <w:style w:type="character" w:customStyle="1" w:styleId="a5">
    <w:name w:val="Цветовое выделение для Текст"/>
    <w:qFormat/>
    <w:rPr>
      <w:rFonts w:ascii="Times New Roman CYR" w:hAnsi="Times New Roman CYR"/>
    </w:rPr>
  </w:style>
  <w:style w:type="character" w:customStyle="1" w:styleId="a6">
    <w:name w:val="Верхний колонтитул Знак"/>
    <w:basedOn w:val="a0"/>
    <w:qFormat/>
    <w:rPr>
      <w:rFonts w:eastAsia="Times New Roman"/>
    </w:rPr>
  </w:style>
  <w:style w:type="character" w:customStyle="1" w:styleId="a7">
    <w:name w:val="Нижний колонтитул Знак"/>
    <w:basedOn w:val="a0"/>
    <w:qFormat/>
    <w:rPr>
      <w:rFonts w:eastAsia="Times New Roman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Обычная таблица1"/>
    <w:qFormat/>
    <w:pPr>
      <w:spacing w:after="160" w:line="254" w:lineRule="auto"/>
    </w:pPr>
    <w:rPr>
      <w:rFonts w:ascii="Calibri" w:eastAsia="Times New Roman" w:hAnsi="Calibri" w:cs="Times New Roman"/>
      <w:sz w:val="22"/>
      <w:szCs w:val="22"/>
      <w:lang w:eastAsia="ru-RU" w:bidi="ar-SA"/>
    </w:rPr>
  </w:style>
  <w:style w:type="paragraph" w:customStyle="1" w:styleId="ad">
    <w:name w:val="Нормальный (таблица)"/>
    <w:basedOn w:val="a"/>
    <w:next w:val="a"/>
    <w:qFormat/>
    <w:pPr>
      <w:ind w:firstLine="0"/>
    </w:pPr>
  </w:style>
  <w:style w:type="paragraph" w:customStyle="1" w:styleId="ae">
    <w:name w:val="Таблицы (моноширинный)"/>
    <w:basedOn w:val="a"/>
    <w:next w:val="a"/>
    <w:qFormat/>
    <w:pPr>
      <w:ind w:firstLine="0"/>
      <w:jc w:val="left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qFormat/>
    <w:pPr>
      <w:ind w:firstLine="0"/>
      <w:jc w:val="left"/>
    </w:pPr>
  </w:style>
  <w:style w:type="paragraph" w:customStyle="1" w:styleId="af0">
    <w:name w:val="Колонтитул"/>
    <w:basedOn w:val="a"/>
    <w:qFormat/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243</Words>
  <Characters>1386</Characters>
  <Application>Microsoft Office Word</Application>
  <DocSecurity>0</DocSecurity>
  <Lines>11</Lines>
  <Paragraphs>3</Paragraphs>
  <ScaleCrop>false</ScaleCrop>
  <Company>НПП "Гарант-Сервис"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>Документ экспортирован из системы ГАРАНТ</dc:description>
  <cp:lastModifiedBy>Admin</cp:lastModifiedBy>
  <cp:revision>12</cp:revision>
  <dcterms:created xsi:type="dcterms:W3CDTF">2024-09-18T09:59:00Z</dcterms:created>
  <dcterms:modified xsi:type="dcterms:W3CDTF">2026-04-21T04:55:00Z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Борисова Е.С.</vt:lpwstr>
  </property>
</Properties>
</file>