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р</w:t>
      </w:r>
      <w:r>
        <w:rPr>
          <w:b/>
          <w:bCs/>
          <w:sz w:val="24"/>
          <w:szCs w:val="24"/>
        </w:rPr>
        <w:t xml:space="preserve">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Татарстан «О внесении изменений в постановление Кабинета Министров Республики Татарстан от 30.03.2019 № 248 «Об утверждении Порядка выплаты штрафа за неисполнение обязательств по договору о целевом обучении</w:t>
      </w:r>
      <w:r>
        <w:rPr>
          <w:b/>
          <w:bCs/>
          <w:sz w:val="24"/>
          <w:szCs w:val="24"/>
        </w:rPr>
        <w:t xml:space="preserve"> по образовательным программам высшего образования за счет бюджетных ассигнований бюджета Республики Татарстан, порядка определения его размера и зачисления в бюджет Республики Татарстан»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9</cp:revision>
  <dcterms:created xsi:type="dcterms:W3CDTF">2024-05-23T06:14:00Z</dcterms:created>
  <dcterms:modified xsi:type="dcterms:W3CDTF">2026-05-04T07:48:36Z</dcterms:modified>
</cp:coreProperties>
</file>