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</w:t>
      </w:r>
      <w:bookmarkStart w:id="0" w:name="_GoBack"/>
      <w:bookmarkEnd w:id="0"/>
      <w:r>
        <w:rPr>
          <w:sz w:val="28"/>
          <w:szCs w:val="28"/>
        </w:rPr>
        <w:t xml:space="preserve"> постановления Кабинета Министров Республики Татарстан «О внесении изменения в приложение к Регламенту формирования и ведения Инвестиционной карты Республики Татарстан, утвержденному постановлением Кабинета Министров Республики Татарстан от 11.07.2024 № 542 «Об утверждении Регламента формирования и ведения Инвестиционной карты Республики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ADBB-E94D-4287-A328-8A7F10CB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8BB2-5226-45F8-899A-B1704219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 Шамиль Мохаммядиевич</dc:creator>
  <cp:lastModifiedBy>Узбеков Шамиль Мохаммядиевич</cp:lastModifiedBy>
  <cp:revision>2</cp:revision>
  <dcterms:created xsi:type="dcterms:W3CDTF">2026-03-23T16:13:00Z</dcterms:created>
  <dcterms:modified xsi:type="dcterms:W3CDTF">2026-03-23T16:13:00Z</dcterms:modified>
</cp:coreProperties>
</file>