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  <w:highlight w:val="none"/>
        </w:rPr>
      </w:pP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«О внесении изменения в Порядок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оценки эффективности деятельности социально ориентированных некоммерческих организаций, осуществляющих деятельность в социальной сфере, утвержденный постановлением Кабинета Министров Республики Татарстан от 13.07.2017 № 485 «Об оценке эффективности деятел</w:t>
      </w:r>
      <w:r>
        <w:rPr>
          <w:rFonts w:ascii="Times New Roman" w:hAnsi="Times New Roman" w:eastAsia="Calibri" w:cs="Times New Roman"/>
          <w:sz w:val="28"/>
          <w:szCs w:val="28"/>
        </w:rPr>
        <w:t xml:space="preserve">ьности социально ориентированных некоммерческих организаций, осуществляющих деятельность в социальной сфере» 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165E829"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17</cp:revision>
  <dcterms:created xsi:type="dcterms:W3CDTF">2020-12-19T12:13:00Z</dcterms:created>
  <dcterms:modified xsi:type="dcterms:W3CDTF">2026-03-11T08:21:47Z</dcterms:modified>
</cp:coreProperties>
</file>