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C30B0D" w:rsidRDefault="00AE7E27" w:rsidP="00B658AF">
      <w:r w:rsidRPr="00AE7E27">
        <w:t>Проект приказа Министерства образовани</w:t>
      </w:r>
      <w:r w:rsidR="00D10A5A">
        <w:t xml:space="preserve">я и науки Республики Татарстан </w:t>
      </w:r>
      <w:bookmarkStart w:id="0" w:name="_GoBack"/>
      <w:bookmarkEnd w:id="0"/>
      <w:r w:rsidR="00B658AF" w:rsidRPr="00B658AF">
        <w:t>«О внесении изменений в отдельные приказы Министерства образования и науки Республики Татарстан»</w:t>
      </w: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N</w:t>
            </w:r>
          </w:p>
          <w:p w:rsidR="00C30B0D" w:rsidRDefault="00F01742">
            <w:pPr>
              <w:pStyle w:val="ac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Эксперт</w:t>
            </w:r>
          </w:p>
          <w:p w:rsidR="00C30B0D" w:rsidRDefault="00F01742">
            <w:pPr>
              <w:pStyle w:val="ac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Комментарии</w:t>
            </w:r>
          </w:p>
          <w:p w:rsidR="00C30B0D" w:rsidRDefault="00F01742">
            <w:pPr>
              <w:pStyle w:val="ac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c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N</w:t>
            </w:r>
          </w:p>
          <w:p w:rsidR="00C30B0D" w:rsidRDefault="00F01742">
            <w:pPr>
              <w:pStyle w:val="ac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c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c"/>
              <w:jc w:val="center"/>
            </w:pPr>
            <w:r>
              <w:t>Комментарии</w:t>
            </w:r>
          </w:p>
          <w:p w:rsidR="00C30B0D" w:rsidRDefault="00F01742">
            <w:pPr>
              <w:pStyle w:val="ac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c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e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c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0D"/>
    <w:rsid w:val="00362ABE"/>
    <w:rsid w:val="007F5921"/>
    <w:rsid w:val="00AE7E27"/>
    <w:rsid w:val="00B658AF"/>
    <w:rsid w:val="00C30B0D"/>
    <w:rsid w:val="00D10A5A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547E"/>
  <w15:docId w15:val="{188F1517-612E-402B-B103-396FD264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c">
    <w:name w:val="Нормальный (таблица)"/>
    <w:basedOn w:val="a"/>
    <w:next w:val="a"/>
    <w:qFormat/>
    <w:pPr>
      <w:ind w:firstLine="0"/>
    </w:pPr>
  </w:style>
  <w:style w:type="paragraph" w:customStyle="1" w:styleId="ad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e">
    <w:name w:val="Прижатый влево"/>
    <w:basedOn w:val="a"/>
    <w:next w:val="a"/>
    <w:qFormat/>
    <w:pPr>
      <w:ind w:firstLine="0"/>
      <w:jc w:val="left"/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2</cp:revision>
  <dcterms:created xsi:type="dcterms:W3CDTF">2026-03-13T08:57:00Z</dcterms:created>
  <dcterms:modified xsi:type="dcterms:W3CDTF">2026-03-13T08:57:00Z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