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</w:t>
      </w:r>
      <w:r>
        <w:rPr>
          <w:rFonts w:ascii="Times New Roman" w:hAnsi="Times New Roman" w:cs="Times New Roman"/>
          <w:sz w:val="28"/>
          <w:szCs w:val="28"/>
        </w:rPr>
        <w:t xml:space="preserve">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назначению выплаты на приобретение лекарственных средств семьям, имеющим детей в возрасте до трех лет, утвержденный приказом Министерства труда, занятости и социально</w:t>
      </w:r>
      <w:r>
        <w:rPr>
          <w:rFonts w:ascii="Times New Roman" w:hAnsi="Times New Roman" w:cs="Times New Roman"/>
          <w:sz w:val="28"/>
          <w:szCs w:val="28"/>
        </w:rPr>
        <w:t xml:space="preserve">й защиты Республики Татарстан от 09.03.2023 № 144 «Об утверждении Административного регламента предоставления государственной услуги по назначению выплаты на приобретение лекарственных средств семьям, имеющим детей в возрасте до трех лет»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38</cp:revision>
  <dcterms:created xsi:type="dcterms:W3CDTF">2018-03-05T07:38:00Z</dcterms:created>
  <dcterms:modified xsi:type="dcterms:W3CDTF">2026-01-21T05:43:04Z</dcterms:modified>
</cp:coreProperties>
</file>