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 утверждении нормативных затрат на оказание государственной услуги по организации обучения сотрудников организаций сферы молодежной политики государственным бюджетным учреждением «Республиканский центр молодежных, инновационных и профилактических програ</w:t>
      </w:r>
      <w:r>
        <w:rPr>
          <w:rFonts w:ascii="Times New Roman" w:hAnsi="Times New Roman"/>
          <w:sz w:val="28"/>
          <w:szCs w:val="28"/>
        </w:rPr>
        <w:t xml:space="preserve">мм «Навигатор» на 2026 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47</cp:revision>
  <dcterms:created xsi:type="dcterms:W3CDTF">2020-12-19T12:13:00Z</dcterms:created>
  <dcterms:modified xsi:type="dcterms:W3CDTF">2025-12-23T13:46:51Z</dcterms:modified>
</cp:coreProperties>
</file>