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 внесении изменения в нормативные затраты на государственные работы, выполняемые отдельными государственными учреждениями социокультурной сферы Республики Татарстан, на 2025 год и на плановый период 2026 и 2027 годов, утвержденные постановление Кабинета Ми</w:t>
      </w:r>
      <w:r>
        <w:rPr>
          <w:rFonts w:ascii="Times New Roman" w:hAnsi="Times New Roman"/>
          <w:sz w:val="28"/>
          <w:szCs w:val="28"/>
        </w:rPr>
        <w:t xml:space="preserve">нистров Республики Татарстан от 18.09.2024 № 803 «Об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 Республики Татарстан на 2025 год и на плановый п</w:t>
      </w:r>
      <w:r>
        <w:rPr>
          <w:rFonts w:ascii="Times New Roman" w:hAnsi="Times New Roman"/>
          <w:sz w:val="28"/>
          <w:szCs w:val="28"/>
        </w:rPr>
        <w:t xml:space="preserve">ериод 2026 и 2027 годов»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44</cp:revision>
  <dcterms:created xsi:type="dcterms:W3CDTF">2020-12-19T12:13:00Z</dcterms:created>
  <dcterms:modified xsi:type="dcterms:W3CDTF">2025-12-15T13:30:26Z</dcterms:modified>
</cp:coreProperties>
</file>