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C6CA4" w:rsidRPr="006C6CA4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6C6CA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="006C6CA4" w:rsidRPr="006C6CA4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20.10.2023 № 334-17/кс-2023 «Об установлении тарифов на водоотведение для Акционерного общества «Казанский </w:t>
      </w:r>
      <w:r w:rsidR="006C6CA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="006C6CA4" w:rsidRPr="006C6CA4">
        <w:rPr>
          <w:rFonts w:ascii="Times New Roman" w:hAnsi="Times New Roman"/>
          <w:sz w:val="28"/>
          <w:szCs w:val="28"/>
          <w:shd w:val="clear" w:color="auto" w:fill="FFFFFF"/>
        </w:rPr>
        <w:t>оптико-механический завод» на 2024 – 2028 годы и утвержд</w:t>
      </w:r>
      <w:r w:rsidR="006C6CA4">
        <w:rPr>
          <w:rFonts w:ascii="Times New Roman" w:hAnsi="Times New Roman"/>
          <w:sz w:val="28"/>
          <w:szCs w:val="28"/>
          <w:shd w:val="clear" w:color="auto" w:fill="FFFFFF"/>
        </w:rPr>
        <w:t>ении производственной программы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2025-12-24T10:08:00Z</dcterms:created>
  <dcterms:modified xsi:type="dcterms:W3CDTF">2025-12-24T10:08:00Z</dcterms:modified>
</cp:coreProperties>
</file>