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26282f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6282f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highlight w:val="white"/>
        </w:rPr>
        <w:t xml:space="preserve">проекту приказа Госалкогольинспекции Республики Татарстан «Об утверждении Административного регламента административного регламента предоставления государственной услуги по лицензированию розничной продажи алкогольной продукции на территории Республики Тата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highlight w:val="white"/>
        </w:rPr>
        <w:t xml:space="preserve">рстан (за исключением лицензирования розничной продажи вина, игристого вина (шампанского), осуществляемой сельскохозяйственными товаропроизводителями)»</w:t>
      </w:r>
      <w:r>
        <w:rPr>
          <w:rFonts w:ascii="Times New Roman" w:hAnsi="Times New Roman" w:eastAsia="Times New Roman" w:cs="Times New Roman"/>
          <w:b/>
          <w:bCs/>
          <w:color w:val="26282f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2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623" w:customStyle="1">
    <w:name w:val="Нормальный (таблица)"/>
    <w:basedOn w:val="617"/>
    <w:next w:val="617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624" w:customStyle="1">
    <w:name w:val="Таблицы (моноширинный)"/>
    <w:basedOn w:val="617"/>
    <w:next w:val="617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625" w:customStyle="1">
    <w:name w:val="Прижатый влево"/>
    <w:basedOn w:val="617"/>
    <w:next w:val="617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8FBE8-9E54-4778-8559-5DF38147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revision>3</cp:revision>
  <dcterms:created xsi:type="dcterms:W3CDTF">2020-04-23T07:46:00Z</dcterms:created>
  <dcterms:modified xsi:type="dcterms:W3CDTF">2025-12-23T07:31:36Z</dcterms:modified>
</cp:coreProperties>
</file>