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 утверждении Положения о порядке расчета нормативных затрат на предоставление услуги «Социальная няня» и подушевого норматива финансирования на предоставление услуги «Социальная няня» и утверждении нормативных затрат на предоставление услуги «Социальная н</w:t>
      </w:r>
      <w:r>
        <w:rPr>
          <w:rFonts w:ascii="Times New Roman" w:hAnsi="Times New Roman"/>
          <w:sz w:val="28"/>
          <w:szCs w:val="28"/>
        </w:rPr>
        <w:t xml:space="preserve">яня» и подушевого норматива финансирования на предоставление услуги «Социальная няня» на 2026 год</w:t>
      </w:r>
      <w:r>
        <w:rPr>
          <w:rFonts w:ascii="Times New Roman" w:hAnsi="Times New Roman"/>
          <w:sz w:val="28"/>
          <w:szCs w:val="28"/>
        </w:rPr>
        <w:t xml:space="preserve">»</w:t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39</cp:revision>
  <dcterms:created xsi:type="dcterms:W3CDTF">2020-12-19T12:13:00Z</dcterms:created>
  <dcterms:modified xsi:type="dcterms:W3CDTF">2025-11-28T06:53:58Z</dcterms:modified>
</cp:coreProperties>
</file>