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приказа Министерства Юстиции Республики Татарстан «Об образовании рабочей группы по разработке проекта закона Республики Татарстан «О внесении изменений в Закон Республики Татарстан от 28 июля 2004 года № 45-ЗРТ «О местном самоуправлении в Республике Татарстан»»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1</Pages>
  <Words>76</Words>
  <Characters>515</Characters>
  <CharactersWithSpaces>575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2025-11-25T11:54:34Z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