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sz w:val="28"/>
          <w:szCs w:val="28"/>
          <w:u w:val="single"/>
          <w:lang w:eastAsia="en-US"/>
        </w:rPr>
        <w:t>«Об утверждении Порядка принятия на учет и ведения учета  в качестве нуждающихся в жилых помещениях реабилитированных граждан»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1"/>
        <w:gridCol w:w="2646"/>
        <w:gridCol w:w="2379"/>
        <w:gridCol w:w="2637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LibreOffice/7.5.6.2$Linux_X86_64 LibreOffice_project/50$Build-2</Application>
  <AppVersion>15.0000</AppVersion>
  <Pages>1</Pages>
  <Words>104</Words>
  <Characters>802</Characters>
  <CharactersWithSpaces>880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2023-03-30T14:23:00Z</dcterms:created>
  <dc:creator>Лилия Хайрутдинова</dc:creator>
  <dc:description/>
  <dc:language>ru-RU</dc:language>
  <cp:lastModifiedBy/>
  <dcterms:modified xsi:type="dcterms:W3CDTF">2025-11-05T11:01:03Z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