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и (или) общественного обсуждения </w:t>
      </w:r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A5B05" w:rsidRDefault="00227607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607">
        <w:rPr>
          <w:rFonts w:ascii="Times New Roman" w:eastAsia="Times New Roman" w:hAnsi="Times New Roman" w:cs="Times New Roman"/>
          <w:sz w:val="28"/>
          <w:szCs w:val="28"/>
        </w:rPr>
        <w:t>Закона Республики Татарстан «О внесении изменений в Закон Республики Татарстан «О регулировании отдельных вопросов в сфере социального обслуживания граждан в Республике Татарстан»</w:t>
      </w:r>
    </w:p>
    <w:bookmarkEnd w:id="1"/>
    <w:p w:rsidR="00227607" w:rsidRPr="00194448" w:rsidRDefault="00227607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F17" w:rsidRDefault="00C16F17">
      <w:r>
        <w:separator/>
      </w:r>
    </w:p>
  </w:endnote>
  <w:endnote w:type="continuationSeparator" w:id="0">
    <w:p w:rsidR="00C16F17" w:rsidRDefault="00C1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F17" w:rsidRDefault="00C16F17"/>
  </w:footnote>
  <w:footnote w:type="continuationSeparator" w:id="0">
    <w:p w:rsidR="00C16F17" w:rsidRDefault="00C16F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27607"/>
    <w:rsid w:val="00262C6D"/>
    <w:rsid w:val="00262CAB"/>
    <w:rsid w:val="0026400B"/>
    <w:rsid w:val="0026429C"/>
    <w:rsid w:val="002A724C"/>
    <w:rsid w:val="002B06E7"/>
    <w:rsid w:val="002D24EA"/>
    <w:rsid w:val="002D78B6"/>
    <w:rsid w:val="002E05A4"/>
    <w:rsid w:val="003143CC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61372"/>
    <w:rsid w:val="00683CD3"/>
    <w:rsid w:val="00685AF6"/>
    <w:rsid w:val="00686159"/>
    <w:rsid w:val="00686A9F"/>
    <w:rsid w:val="006A4036"/>
    <w:rsid w:val="006F0900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6628"/>
    <w:rsid w:val="00827554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644A5"/>
    <w:rsid w:val="00BC0FE4"/>
    <w:rsid w:val="00BD09A8"/>
    <w:rsid w:val="00BF231D"/>
    <w:rsid w:val="00C10FBF"/>
    <w:rsid w:val="00C15C50"/>
    <w:rsid w:val="00C16F17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43ED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3</cp:revision>
  <dcterms:created xsi:type="dcterms:W3CDTF">2025-11-17T14:52:00Z</dcterms:created>
  <dcterms:modified xsi:type="dcterms:W3CDTF">2025-11-17T14:58:00Z</dcterms:modified>
</cp:coreProperties>
</file>