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D84DBC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10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417378">
        <w:rPr>
          <w:rStyle w:val="pt-a0"/>
          <w:b/>
          <w:bCs/>
          <w:color w:val="000000"/>
          <w:sz w:val="28"/>
          <w:szCs w:val="28"/>
        </w:rPr>
        <w:t>2</w:t>
      </w:r>
      <w:r w:rsidR="009310D8">
        <w:rPr>
          <w:rStyle w:val="pt-a0"/>
          <w:b/>
          <w:bCs/>
          <w:color w:val="000000"/>
          <w:sz w:val="28"/>
          <w:szCs w:val="28"/>
        </w:rPr>
        <w:t>6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9310D8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9310D8"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субсидий из бюджета Республики Татарстан на 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 w:rsidRPr="009310D8">
        <w:rPr>
          <w:rFonts w:ascii="XO Thames" w:hAnsi="XO Thames"/>
          <w:color w:val="000000"/>
          <w:sz w:val="28"/>
          <w:szCs w:val="20"/>
        </w:rPr>
        <w:t>софинансируемых</w:t>
      </w:r>
      <w:proofErr w:type="spellEnd"/>
      <w:r w:rsidRPr="009310D8">
        <w:rPr>
          <w:rFonts w:ascii="XO Thames" w:hAnsi="XO Thames"/>
          <w:color w:val="000000"/>
          <w:sz w:val="28"/>
          <w:szCs w:val="20"/>
        </w:rPr>
        <w:t xml:space="preserve"> из федерального бюджета, утвержденный постановлением Кабинета Министров Республики Татарстан от 27.05.2025       № 366 «Об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 w:rsidRPr="009310D8">
        <w:rPr>
          <w:rFonts w:ascii="XO Thames" w:hAnsi="XO Thames"/>
          <w:color w:val="000000"/>
          <w:sz w:val="28"/>
          <w:szCs w:val="20"/>
        </w:rPr>
        <w:t>софинансируемых</w:t>
      </w:r>
      <w:proofErr w:type="spellEnd"/>
      <w:r w:rsidRPr="009310D8">
        <w:rPr>
          <w:rFonts w:ascii="XO Thames" w:hAnsi="XO Thames"/>
          <w:color w:val="000000"/>
          <w:sz w:val="28"/>
          <w:szCs w:val="20"/>
        </w:rPr>
        <w:t xml:space="preserve"> из федерального бюджета»</w:t>
      </w:r>
      <w:bookmarkStart w:id="0" w:name="_GoBack"/>
      <w:bookmarkEnd w:id="0"/>
      <w:r w:rsidR="00D84DBC" w:rsidRPr="00D84DBC">
        <w:rPr>
          <w:rFonts w:ascii="XO Thames" w:hAnsi="XO Thames"/>
          <w:color w:val="000000"/>
          <w:sz w:val="28"/>
          <w:szCs w:val="20"/>
        </w:rPr>
        <w:t xml:space="preserve"> 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417378"/>
    <w:rsid w:val="005E54AE"/>
    <w:rsid w:val="00622AA0"/>
    <w:rsid w:val="00691532"/>
    <w:rsid w:val="009310D8"/>
    <w:rsid w:val="009350A5"/>
    <w:rsid w:val="0095346E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9D3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2025-11-19T07:42:00Z</dcterms:created>
  <dcterms:modified xsi:type="dcterms:W3CDTF">2025-11-19T07:42:00Z</dcterms:modified>
</cp:coreProperties>
</file>