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</w:t>
      </w:r>
      <w:r>
        <w:rPr>
          <w:bCs/>
          <w:sz w:val="28"/>
          <w:szCs w:val="28"/>
        </w:rPr>
        <w:t xml:space="preserve">товки, на 2025 год и на плановый период 2026 и 2027 годов, утвержденные постановлением Кабинета Министров Республики Татарстан от 18.09.2024 № 807 «Об утверждении нормативных затрат государственных организаций Республики Татарстан, реализующих дополнительны</w:t>
      </w:r>
      <w:r>
        <w:rPr>
          <w:bCs/>
          <w:sz w:val="28"/>
          <w:szCs w:val="28"/>
        </w:rPr>
        <w:t xml:space="preserve">е образовательные программы спортивной подготовки, на 2025 год и на плановый период 2026 и 2027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32</cp:revision>
  <dcterms:created xsi:type="dcterms:W3CDTF">2020-12-19T12:13:00Z</dcterms:created>
  <dcterms:modified xsi:type="dcterms:W3CDTF">2025-10-03T09:26:35Z</dcterms:modified>
</cp:coreProperties>
</file>